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2"/>
          <w:szCs w:val="32"/>
          <w:lang w:val="en-US" w:eastAsia="zh-CN" w:bidi="ar"/>
        </w:rPr>
      </w:pPr>
      <w:r>
        <w:rPr>
          <w:rFonts w:hint="eastAsia" w:ascii="宋体" w:hAnsi="宋体" w:eastAsia="宋体" w:cs="宋体"/>
          <w:b/>
          <w:bCs/>
          <w:sz w:val="32"/>
          <w:szCs w:val="32"/>
          <w:lang w:bidi="ar"/>
        </w:rPr>
        <w:t>南京体育学院非全日制教育硕士专业学位培养方案</w:t>
      </w:r>
      <w:r>
        <w:rPr>
          <w:rFonts w:hint="eastAsia" w:ascii="宋体" w:hAnsi="宋体" w:eastAsia="宋体" w:cs="宋体"/>
          <w:b/>
          <w:bCs/>
          <w:sz w:val="32"/>
          <w:szCs w:val="32"/>
          <w:lang w:val="en-US" w:eastAsia="zh-CN" w:bidi="ar"/>
        </w:rPr>
        <w:t>修订</w:t>
      </w:r>
    </w:p>
    <w:p>
      <w:pPr>
        <w:jc w:val="center"/>
        <w:rPr>
          <w:rFonts w:ascii="宋体" w:hAnsi="宋体" w:cs="宋体"/>
          <w:sz w:val="28"/>
          <w:szCs w:val="28"/>
          <w:lang w:bidi="ar"/>
        </w:rPr>
      </w:pPr>
      <w:r>
        <w:rPr>
          <w:rFonts w:hint="eastAsia" w:ascii="宋体" w:hAnsi="宋体" w:cs="宋体"/>
          <w:sz w:val="28"/>
          <w:szCs w:val="28"/>
          <w:lang w:bidi="ar"/>
        </w:rPr>
        <w:t>（</w:t>
      </w:r>
      <w:r>
        <w:rPr>
          <w:rFonts w:hint="eastAsia" w:ascii="宋体" w:hAnsi="宋体" w:cs="宋体"/>
          <w:sz w:val="28"/>
          <w:szCs w:val="28"/>
          <w:lang w:val="en-US" w:eastAsia="zh-CN" w:bidi="ar"/>
        </w:rPr>
        <w:t>模板</w:t>
      </w:r>
      <w:r>
        <w:rPr>
          <w:rFonts w:hint="eastAsia" w:ascii="宋体" w:hAnsi="宋体" w:cs="宋体"/>
          <w:sz w:val="28"/>
          <w:szCs w:val="28"/>
          <w:lang w:bidi="ar"/>
        </w:rPr>
        <w:t>）</w:t>
      </w:r>
    </w:p>
    <w:p>
      <w:pPr>
        <w:jc w:val="center"/>
        <w:rPr>
          <w:rFonts w:hint="eastAsia" w:ascii="宋体" w:hAnsi="宋体" w:eastAsia="宋体" w:cs="宋体"/>
          <w:b/>
          <w:bCs/>
          <w:sz w:val="32"/>
          <w:szCs w:val="32"/>
          <w:lang w:bidi="ar"/>
        </w:rPr>
      </w:pPr>
      <w:r>
        <w:rPr>
          <w:rFonts w:hint="eastAsia" w:ascii="宋体" w:hAnsi="宋体" w:cs="宋体"/>
          <w:sz w:val="28"/>
          <w:szCs w:val="28"/>
          <w:lang w:bidi="ar"/>
        </w:rPr>
        <w:t>（学科教学</w:t>
      </w:r>
      <w:bookmarkStart w:id="0" w:name="_GoBack"/>
      <w:bookmarkEnd w:id="0"/>
      <w:r>
        <w:rPr>
          <w:rFonts w:hint="eastAsia" w:ascii="宋体" w:hAnsi="宋体" w:cs="宋体"/>
          <w:sz w:val="28"/>
          <w:szCs w:val="28"/>
          <w:lang w:bidi="ar"/>
        </w:rPr>
        <w:t>·体育）</w:t>
      </w:r>
    </w:p>
    <w:p>
      <w:pPr>
        <w:spacing w:line="360" w:lineRule="auto"/>
        <w:ind w:firstLine="643" w:firstLineChars="200"/>
        <w:rPr>
          <w:rFonts w:ascii="仿宋_GB2312" w:hAnsi="Times New Roman" w:eastAsia="仿宋_GB2312" w:cs="仿宋_GB2312"/>
          <w:b/>
          <w:bCs/>
          <w:sz w:val="32"/>
          <w:szCs w:val="32"/>
          <w:lang w:bidi="ar"/>
        </w:rPr>
      </w:pPr>
      <w:r>
        <w:rPr>
          <w:rFonts w:hint="eastAsia" w:ascii="仿宋_GB2312" w:hAnsi="Times New Roman" w:eastAsia="仿宋_GB2312" w:cs="仿宋_GB2312"/>
          <w:b/>
          <w:bCs/>
          <w:sz w:val="32"/>
          <w:szCs w:val="32"/>
          <w:lang w:bidi="ar"/>
        </w:rPr>
        <w:t>一、培养目标</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培养基础教育学校和中等职业学校高素质专任教师和管理人员，其中，职业技术教育领域培养中等职业学校高素质专业课教师。具体培养目标为：</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1．热爱祖国，拥护中国共产党领导。热爱教育事业，关爱学生。立德树人，为人师表，恪守教师职业道德规范。</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2．系统掌握现代教育理论,具有扎实的教育专业和学科专业基础，了解教育专业和学科专业前沿和发展趋势。了解党和国家的教育方针政策和教育法律法规。</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3．具有较强的教育教学实践能力和管理能力，胜任并能创造性地开展教育教学和管理工作。</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4. 具有较强的教育教学研究能力，善于发现、分析和解决教育教学实践问题。</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5.具有较强的数字化教育教学能力，能有效运用数字化技术手段和资源开展教育教学工作。</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6．具有终身学习与发展的意识与能力。</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7．能较为熟练地阅读本专业的外文文献。</w:t>
      </w:r>
    </w:p>
    <w:p>
      <w:pPr>
        <w:spacing w:line="360" w:lineRule="auto"/>
        <w:ind w:firstLine="643" w:firstLineChars="200"/>
        <w:rPr>
          <w:rFonts w:hint="eastAsia" w:ascii="仿宋_GB2312" w:hAnsi="Times New Roman" w:eastAsia="仿宋_GB2312" w:cs="仿宋_GB2312"/>
          <w:b/>
          <w:bCs/>
          <w:sz w:val="32"/>
          <w:szCs w:val="32"/>
          <w:lang w:val="en-US" w:eastAsia="zh-CN" w:bidi="ar"/>
        </w:rPr>
      </w:pPr>
      <w:r>
        <w:rPr>
          <w:rFonts w:hint="eastAsia" w:ascii="仿宋_GB2312" w:hAnsi="Times New Roman" w:eastAsia="仿宋_GB2312" w:cs="仿宋_GB2312"/>
          <w:b/>
          <w:bCs/>
          <w:sz w:val="32"/>
          <w:szCs w:val="32"/>
          <w:lang w:val="en-US" w:eastAsia="zh-CN" w:bidi="ar"/>
        </w:rPr>
        <w:t>二、招生对象</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val="en-US" w:eastAsia="zh-CN" w:bidi="ar"/>
        </w:rPr>
        <w:t xml:space="preserve">具有国民教育序列大学本科学历(或本科同等学力)人员，其中报考教育管理专业领域者需有 3 年以上相关工作经验。报考人员前置专业应与所报考专业领域（方向）密切相关。 </w:t>
      </w:r>
    </w:p>
    <w:p>
      <w:pPr>
        <w:spacing w:line="360" w:lineRule="auto"/>
        <w:ind w:firstLine="643" w:firstLineChars="200"/>
        <w:rPr>
          <w:rFonts w:ascii="仿宋_GB2312" w:hAnsi="Times New Roman" w:eastAsia="仿宋_GB2312" w:cs="仿宋_GB2312"/>
          <w:b/>
          <w:bCs/>
          <w:sz w:val="32"/>
          <w:szCs w:val="32"/>
          <w:lang w:bidi="ar"/>
        </w:rPr>
      </w:pPr>
      <w:r>
        <w:rPr>
          <w:rFonts w:hint="eastAsia" w:ascii="仿宋_GB2312" w:hAnsi="Times New Roman" w:eastAsia="仿宋_GB2312" w:cs="仿宋_GB2312"/>
          <w:b/>
          <w:bCs/>
          <w:sz w:val="32"/>
          <w:szCs w:val="32"/>
          <w:lang w:val="en-US" w:eastAsia="zh-CN" w:bidi="ar"/>
        </w:rPr>
        <w:t>三</w:t>
      </w:r>
      <w:r>
        <w:rPr>
          <w:rFonts w:hint="eastAsia" w:ascii="仿宋_GB2312" w:hAnsi="Times New Roman" w:eastAsia="仿宋_GB2312" w:cs="仿宋_GB2312"/>
          <w:b/>
          <w:bCs/>
          <w:sz w:val="32"/>
          <w:szCs w:val="32"/>
          <w:lang w:bidi="ar"/>
        </w:rPr>
        <w:t>、学习年限</w:t>
      </w:r>
    </w:p>
    <w:p>
      <w:pPr>
        <w:keepNext w:val="0"/>
        <w:keepLines w:val="0"/>
        <w:widowControl/>
        <w:suppressLineNumbers w:val="0"/>
        <w:jc w:val="left"/>
        <w:rPr>
          <w:rFonts w:ascii="仿宋-GB2312" w:hAnsi="仿宋-GB2312" w:eastAsia="仿宋-GB2312" w:cs="仿宋-GB2312"/>
          <w:sz w:val="28"/>
          <w:szCs w:val="28"/>
          <w:lang w:bidi="ar"/>
        </w:rPr>
      </w:pPr>
      <w:r>
        <w:rPr>
          <w:rFonts w:hint="eastAsia" w:ascii="仿宋-GB2312" w:hAnsi="仿宋-GB2312" w:eastAsia="仿宋-GB2312" w:cs="仿宋-GB2312"/>
          <w:sz w:val="28"/>
          <w:szCs w:val="28"/>
          <w:lang w:bidi="ar"/>
        </w:rPr>
        <w:t>采取</w:t>
      </w:r>
      <w:r>
        <w:rPr>
          <w:rFonts w:hint="eastAsia" w:ascii="仿宋-GB2312" w:hAnsi="仿宋-GB2312" w:eastAsia="仿宋-GB2312" w:cs="仿宋-GB2312"/>
          <w:sz w:val="28"/>
          <w:szCs w:val="28"/>
          <w:lang w:val="en-US" w:eastAsia="zh-CN" w:bidi="ar"/>
        </w:rPr>
        <w:t>非</w:t>
      </w:r>
      <w:r>
        <w:rPr>
          <w:rFonts w:hint="eastAsia" w:ascii="仿宋-GB2312" w:hAnsi="仿宋-GB2312" w:eastAsia="仿宋-GB2312" w:cs="仿宋-GB2312"/>
          <w:sz w:val="28"/>
          <w:szCs w:val="28"/>
          <w:lang w:bidi="ar"/>
        </w:rPr>
        <w:t>全日制学习方式，学习年限一般为</w:t>
      </w:r>
      <w:r>
        <w:rPr>
          <w:rFonts w:hint="eastAsia" w:ascii="仿宋-GB2312" w:hAnsi="仿宋-GB2312" w:eastAsia="仿宋-GB2312" w:cs="仿宋-GB2312"/>
          <w:sz w:val="28"/>
          <w:szCs w:val="28"/>
          <w:lang w:val="en-US" w:eastAsia="zh-CN" w:bidi="ar"/>
        </w:rPr>
        <w:t>3</w:t>
      </w:r>
      <w:r>
        <w:rPr>
          <w:rFonts w:hint="eastAsia" w:ascii="仿宋-GB2312" w:hAnsi="仿宋-GB2312" w:eastAsia="仿宋-GB2312" w:cs="仿宋-GB2312"/>
          <w:sz w:val="28"/>
          <w:szCs w:val="28"/>
          <w:lang w:bidi="ar"/>
        </w:rPr>
        <w:t>年</w:t>
      </w:r>
      <w:r>
        <w:rPr>
          <w:rFonts w:hint="eastAsia" w:ascii="仿宋-GB2312" w:hAnsi="仿宋-GB2312" w:eastAsia="仿宋-GB2312" w:cs="仿宋-GB2312"/>
          <w:sz w:val="28"/>
          <w:szCs w:val="28"/>
          <w:lang w:eastAsia="zh-CN" w:bidi="ar"/>
        </w:rPr>
        <w:t>，</w:t>
      </w:r>
      <w:r>
        <w:rPr>
          <w:rFonts w:hint="eastAsia" w:ascii="仿宋-GB2312" w:hAnsi="仿宋-GB2312" w:eastAsia="仿宋-GB2312" w:cs="仿宋-GB2312"/>
          <w:sz w:val="28"/>
          <w:szCs w:val="28"/>
          <w:lang w:val="en-US" w:eastAsia="zh-CN" w:bidi="ar"/>
        </w:rPr>
        <w:t>在校学习时间累计不少于 1 学年</w:t>
      </w:r>
      <w:r>
        <w:rPr>
          <w:rFonts w:hint="eastAsia" w:ascii="仿宋-GB2312" w:hAnsi="仿宋-GB2312" w:eastAsia="仿宋-GB2312" w:cs="仿宋-GB2312"/>
          <w:sz w:val="28"/>
          <w:szCs w:val="28"/>
          <w:lang w:bidi="ar"/>
        </w:rPr>
        <w:t>。研究生在校修业年限（含休学、保留学籍、延期毕业）最长不得超过</w:t>
      </w:r>
      <w:r>
        <w:rPr>
          <w:rFonts w:hint="eastAsia" w:ascii="仿宋-GB2312" w:hAnsi="仿宋-GB2312" w:eastAsia="仿宋-GB2312" w:cs="仿宋-GB2312"/>
          <w:sz w:val="28"/>
          <w:szCs w:val="28"/>
          <w:lang w:val="en-US" w:eastAsia="zh-CN" w:bidi="ar"/>
        </w:rPr>
        <w:t>6</w:t>
      </w:r>
      <w:r>
        <w:rPr>
          <w:rFonts w:hint="eastAsia" w:ascii="仿宋-GB2312" w:hAnsi="仿宋-GB2312" w:eastAsia="仿宋-GB2312" w:cs="仿宋-GB2312"/>
          <w:sz w:val="28"/>
          <w:szCs w:val="28"/>
          <w:lang w:bidi="ar"/>
        </w:rPr>
        <w:t>年。</w:t>
      </w:r>
    </w:p>
    <w:p>
      <w:pPr>
        <w:spacing w:line="360" w:lineRule="auto"/>
        <w:ind w:firstLine="643" w:firstLineChars="200"/>
        <w:rPr>
          <w:rFonts w:hint="eastAsia" w:ascii="仿宋-GB2312" w:hAnsi="仿宋-GB2312" w:eastAsia="仿宋-GB2312" w:cs="仿宋-GB2312"/>
          <w:sz w:val="28"/>
          <w:szCs w:val="28"/>
          <w:lang w:bidi="ar"/>
        </w:rPr>
      </w:pPr>
      <w:r>
        <w:rPr>
          <w:rFonts w:hint="eastAsia" w:ascii="仿宋_GB2312" w:hAnsi="Times New Roman" w:eastAsia="仿宋_GB2312" w:cs="仿宋_GB2312"/>
          <w:b/>
          <w:bCs/>
          <w:sz w:val="32"/>
          <w:szCs w:val="32"/>
          <w:lang w:bidi="ar"/>
        </w:rPr>
        <w:t>四、课程设置与学分</w:t>
      </w:r>
    </w:p>
    <w:p>
      <w:pPr>
        <w:ind w:firstLine="560" w:firstLineChars="200"/>
        <w:rPr>
          <w:rFonts w:ascii="仿宋-GB2312" w:hAnsi="仿宋-GB2312" w:eastAsia="仿宋-GB2312" w:cs="仿宋-GB2312"/>
          <w:sz w:val="28"/>
          <w:szCs w:val="28"/>
          <w:lang w:bidi="ar"/>
        </w:rPr>
      </w:pPr>
      <w:r>
        <w:rPr>
          <w:rFonts w:hint="eastAsia" w:ascii="仿宋-GB2312" w:hAnsi="仿宋-GB2312" w:eastAsia="仿宋-GB2312" w:cs="仿宋-GB2312"/>
          <w:sz w:val="28"/>
          <w:szCs w:val="28"/>
          <w:lang w:bidi="ar"/>
        </w:rPr>
        <w:t xml:space="preserve">课程分为公共必修课、学位基础课、专业必修课、专业选修课和实践教学四个模块，按一年时间安排课程学习。课程学习实行学分制，总学分不少于 </w:t>
      </w:r>
      <w:r>
        <w:rPr>
          <w:rFonts w:hint="eastAsia" w:ascii="仿宋-GB2312" w:hAnsi="仿宋-GB2312" w:eastAsia="仿宋-GB2312" w:cs="仿宋-GB2312"/>
          <w:sz w:val="28"/>
          <w:szCs w:val="28"/>
          <w:lang w:val="en-US" w:eastAsia="zh-CN" w:bidi="ar"/>
        </w:rPr>
        <w:t>38</w:t>
      </w:r>
      <w:r>
        <w:rPr>
          <w:rFonts w:hint="eastAsia" w:ascii="仿宋-GB2312" w:hAnsi="仿宋-GB2312" w:eastAsia="仿宋-GB2312" w:cs="仿宋-GB2312"/>
          <w:sz w:val="28"/>
          <w:szCs w:val="28"/>
          <w:lang w:bidi="ar"/>
        </w:rPr>
        <w:t>学分，最多不超过 45 学分。</w:t>
      </w:r>
      <w:r>
        <w:rPr>
          <w:rFonts w:hint="eastAsia" w:ascii="仿宋-GB2312" w:hAnsi="仿宋-GB2312" w:eastAsia="仿宋-GB2312" w:cs="仿宋-GB2312"/>
          <w:color w:val="000000" w:themeColor="text1"/>
          <w:sz w:val="28"/>
          <w:szCs w:val="28"/>
          <w:lang w:bidi="ar"/>
          <w14:textFill>
            <w14:solidFill>
              <w14:schemeClr w14:val="tx1"/>
            </w14:solidFill>
          </w14:textFill>
        </w:rPr>
        <w:t>其中</w:t>
      </w:r>
      <w:r>
        <w:rPr>
          <w:rFonts w:hint="eastAsia" w:ascii="仿宋-GB2312" w:hAnsi="仿宋-GB2312" w:eastAsia="仿宋-GB2312" w:cs="仿宋-GB2312"/>
          <w:color w:val="000000" w:themeColor="text1"/>
          <w:sz w:val="28"/>
          <w:szCs w:val="28"/>
          <w:lang w:val="en-US" w:eastAsia="zh-CN" w:bidi="ar"/>
          <w14:textFill>
            <w14:solidFill>
              <w14:schemeClr w14:val="tx1"/>
            </w14:solidFill>
          </w14:textFill>
        </w:rPr>
        <w:t>公共必修课6</w:t>
      </w:r>
      <w:r>
        <w:rPr>
          <w:rFonts w:hint="eastAsia" w:ascii="仿宋-GB2312" w:hAnsi="仿宋-GB2312" w:eastAsia="仿宋-GB2312" w:cs="仿宋-GB2312"/>
          <w:color w:val="000000" w:themeColor="text1"/>
          <w:sz w:val="28"/>
          <w:szCs w:val="28"/>
          <w:lang w:bidi="ar"/>
          <w14:textFill>
            <w14:solidFill>
              <w14:schemeClr w14:val="tx1"/>
            </w14:solidFill>
          </w14:textFill>
        </w:rPr>
        <w:t>学分，</w:t>
      </w:r>
      <w:r>
        <w:rPr>
          <w:rFonts w:hint="eastAsia" w:ascii="仿宋-GB2312" w:hAnsi="仿宋-GB2312" w:eastAsia="仿宋-GB2312" w:cs="仿宋-GB2312"/>
          <w:color w:val="000000" w:themeColor="text1"/>
          <w:sz w:val="28"/>
          <w:szCs w:val="28"/>
          <w:lang w:val="en-US" w:eastAsia="zh-CN" w:bidi="ar"/>
          <w14:textFill>
            <w14:solidFill>
              <w14:schemeClr w14:val="tx1"/>
            </w14:solidFill>
          </w14:textFill>
        </w:rPr>
        <w:t>学位基础课8</w:t>
      </w:r>
      <w:r>
        <w:rPr>
          <w:rFonts w:hint="eastAsia" w:ascii="仿宋-GB2312" w:hAnsi="仿宋-GB2312" w:eastAsia="仿宋-GB2312" w:cs="仿宋-GB2312"/>
          <w:color w:val="000000" w:themeColor="text1"/>
          <w:sz w:val="28"/>
          <w:szCs w:val="28"/>
          <w:lang w:bidi="ar"/>
          <w14:textFill>
            <w14:solidFill>
              <w14:schemeClr w14:val="tx1"/>
            </w14:solidFill>
          </w14:textFill>
        </w:rPr>
        <w:t>学分，专业</w:t>
      </w:r>
      <w:r>
        <w:rPr>
          <w:rFonts w:hint="eastAsia" w:ascii="仿宋-GB2312" w:hAnsi="仿宋-GB2312" w:eastAsia="仿宋-GB2312" w:cs="仿宋-GB2312"/>
          <w:color w:val="000000" w:themeColor="text1"/>
          <w:sz w:val="28"/>
          <w:szCs w:val="28"/>
          <w:lang w:val="en-US" w:eastAsia="zh-CN" w:bidi="ar"/>
          <w14:textFill>
            <w14:solidFill>
              <w14:schemeClr w14:val="tx1"/>
            </w14:solidFill>
          </w14:textFill>
        </w:rPr>
        <w:t>必修课8</w:t>
      </w:r>
      <w:r>
        <w:rPr>
          <w:rFonts w:hint="eastAsia" w:ascii="仿宋-GB2312" w:hAnsi="仿宋-GB2312" w:eastAsia="仿宋-GB2312" w:cs="仿宋-GB2312"/>
          <w:color w:val="000000" w:themeColor="text1"/>
          <w:sz w:val="28"/>
          <w:szCs w:val="28"/>
          <w:lang w:bidi="ar"/>
          <w14:textFill>
            <w14:solidFill>
              <w14:schemeClr w14:val="tx1"/>
            </w14:solidFill>
          </w14:textFill>
        </w:rPr>
        <w:t>学分，</w:t>
      </w:r>
      <w:r>
        <w:rPr>
          <w:rFonts w:hint="eastAsia" w:ascii="仿宋-GB2312" w:hAnsi="仿宋-GB2312" w:eastAsia="仿宋-GB2312" w:cs="仿宋-GB2312"/>
          <w:color w:val="000000" w:themeColor="text1"/>
          <w:sz w:val="28"/>
          <w:szCs w:val="28"/>
          <w:lang w:val="en-US" w:eastAsia="zh-CN" w:bidi="ar"/>
          <w14:textFill>
            <w14:solidFill>
              <w14:schemeClr w14:val="tx1"/>
            </w14:solidFill>
          </w14:textFill>
        </w:rPr>
        <w:t>专业选修课8学分，</w:t>
      </w:r>
      <w:r>
        <w:rPr>
          <w:rFonts w:hint="eastAsia" w:ascii="仿宋-GB2312" w:hAnsi="仿宋-GB2312" w:eastAsia="仿宋-GB2312" w:cs="仿宋-GB2312"/>
          <w:color w:val="000000" w:themeColor="text1"/>
          <w:sz w:val="28"/>
          <w:szCs w:val="28"/>
          <w:lang w:bidi="ar"/>
          <w14:textFill>
            <w14:solidFill>
              <w14:schemeClr w14:val="tx1"/>
            </w14:solidFill>
          </w14:textFill>
        </w:rPr>
        <w:t>实践教学 8 学分。</w:t>
      </w:r>
      <w:r>
        <w:rPr>
          <w:rFonts w:hint="eastAsia" w:ascii="仿宋-GB2312" w:hAnsi="仿宋-GB2312" w:eastAsia="仿宋-GB2312" w:cs="仿宋-GB2312"/>
          <w:sz w:val="28"/>
          <w:szCs w:val="28"/>
          <w:lang w:bidi="ar"/>
        </w:rPr>
        <w:t>另外，非师范类专业毕业生入学后，应至少补修 3 门教师教育课程，不计入总学分。跨专业毕业生入学后，至少补修 2 门学科专业基础课，不计入总学分。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（一）公共必修课（6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1.外语（2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2.政治（4 学分，按国家相关文件要求开设课程）</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（二）学位基础课 （8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1.教育原理（2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2.课程与教学论（2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3.教育研究方法（2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4.青少年心理发展与教育（2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（三）专业必修课（8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1.学科课程与教材研究（2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2.学科教学设计与实施研究（2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3.学科专业课程（4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（四）专业选修课 （8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1.学科素养类课程</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2.教育专业类课程</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3.专业特色类课程</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每一类专业选修课至少开设 2 门课程，每门课程 1-2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（五）教育教学实践研究（8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教育教学实践研究应注重结合基础教育学校或中等职业学校的教育教学和教育管理实践开展实践反思。教育教学实践研究包括课程与教材开发研究、教学设计与优化研究、课堂教学实践研究、班级与课堂管理研究、学校教育管理研究等。撰写不少于 4 份高质量实践研究报告或研究案例。</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1.课程与教材开发研究：对课程与教材的二次开发或校本化处理等实践活动进行研究，撰写课程与教材开发研究报告。职业技术教育领域可结合学科专业新技术、新方法、新手段的发展，开展新教材开发实践研究。</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2.教学设计与优化研究：对教学设计方案的改进、优化等方面的实践进行研究，撰写教学设计案例。</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3.课堂教学实践研究：优化课堂教学环节、流程、方法、手段等，提升课堂教学质量的实践研究，撰写课堂教学案例。</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4. 班级与课堂管理研究：对班级与课堂的组织管理实践进行研究，撰写相关的教学管理案例报告；</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5.学校教育管理研究（教育管理领域）：针对学校教育管理各方面的实践工作进行研究，撰写教育管理案例。</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（六）考核方式</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采取课程考试、课程论文、调查报告、教学设计、实践（实验）报告等多种评价方式，加强过程性评价，注重课程目标达成度评价，建立基于评价的课程与教学质量持续改进机制。</w:t>
      </w:r>
    </w:p>
    <w:p>
      <w:pPr>
        <w:numPr>
          <w:ilvl w:val="0"/>
          <w:numId w:val="1"/>
        </w:numPr>
        <w:spacing w:line="360" w:lineRule="auto"/>
        <w:ind w:firstLine="643" w:firstLineChars="200"/>
        <w:rPr>
          <w:rFonts w:hint="eastAsia" w:ascii="仿宋_GB2312" w:hAnsi="Times New Roman" w:eastAsia="仿宋_GB2312" w:cs="仿宋_GB2312"/>
          <w:b/>
          <w:bCs/>
          <w:sz w:val="32"/>
          <w:szCs w:val="32"/>
          <w:lang w:bidi="ar"/>
        </w:rPr>
      </w:pPr>
      <w:r>
        <w:rPr>
          <w:rFonts w:hint="eastAsia" w:ascii="仿宋_GB2312" w:hAnsi="Times New Roman" w:eastAsia="仿宋_GB2312" w:cs="仿宋_GB2312"/>
          <w:b/>
          <w:bCs/>
          <w:sz w:val="32"/>
          <w:szCs w:val="32"/>
          <w:lang w:bidi="ar"/>
        </w:rPr>
        <w:t>培养过程与方式</w:t>
      </w:r>
    </w:p>
    <w:p>
      <w:pPr>
        <w:spacing w:line="360" w:lineRule="auto"/>
        <w:ind w:firstLine="560" w:firstLineChars="200"/>
        <w:rPr>
          <w:rFonts w:hint="eastAsia" w:ascii="仿宋-GB2312" w:hAnsi="仿宋-GB2312" w:eastAsia="仿宋-GB2312" w:cs="仿宋-GB2312"/>
          <w:color w:val="FF0000"/>
          <w:sz w:val="28"/>
          <w:szCs w:val="28"/>
          <w:lang w:eastAsia="zh-CN" w:bidi="ar"/>
        </w:rPr>
      </w:pPr>
      <w:r>
        <w:rPr>
          <w:rFonts w:hint="eastAsia" w:ascii="仿宋-GB2312" w:hAnsi="仿宋-GB2312" w:eastAsia="仿宋-GB2312" w:cs="仿宋-GB2312"/>
          <w:color w:val="FF0000"/>
          <w:sz w:val="28"/>
          <w:szCs w:val="28"/>
          <w:lang w:eastAsia="zh-CN" w:bidi="ar"/>
        </w:rPr>
        <w:t>（</w:t>
      </w:r>
      <w:r>
        <w:rPr>
          <w:rFonts w:hint="eastAsia" w:ascii="仿宋-GB2312" w:hAnsi="仿宋-GB2312" w:eastAsia="仿宋-GB2312" w:cs="仿宋-GB2312"/>
          <w:color w:val="FF0000"/>
          <w:sz w:val="28"/>
          <w:szCs w:val="28"/>
          <w:lang w:val="en-US" w:eastAsia="zh-CN" w:bidi="ar"/>
        </w:rPr>
        <w:t>请做简要阐述</w:t>
      </w:r>
      <w:r>
        <w:rPr>
          <w:rFonts w:hint="eastAsia" w:ascii="仿宋-GB2312" w:hAnsi="仿宋-GB2312" w:eastAsia="仿宋-GB2312" w:cs="仿宋-GB2312"/>
          <w:color w:val="FF0000"/>
          <w:sz w:val="28"/>
          <w:szCs w:val="28"/>
          <w:lang w:eastAsia="zh-CN" w:bidi="ar"/>
        </w:rPr>
        <w:t>）</w:t>
      </w:r>
    </w:p>
    <w:p>
      <w:pPr>
        <w:spacing w:line="360" w:lineRule="auto"/>
        <w:ind w:firstLine="643" w:firstLineChars="200"/>
        <w:rPr>
          <w:rFonts w:ascii="仿宋_GB2312" w:hAnsi="Times New Roman" w:eastAsia="仿宋_GB2312" w:cs="仿宋_GB2312"/>
          <w:b/>
          <w:bCs/>
          <w:sz w:val="32"/>
          <w:szCs w:val="32"/>
          <w:lang w:bidi="ar"/>
        </w:rPr>
      </w:pPr>
      <w:r>
        <w:rPr>
          <w:rFonts w:hint="eastAsia" w:ascii="仿宋_GB2312" w:hAnsi="Times New Roman" w:eastAsia="仿宋_GB2312" w:cs="仿宋_GB2312"/>
          <w:b/>
          <w:bCs/>
          <w:sz w:val="32"/>
          <w:szCs w:val="32"/>
          <w:lang w:bidi="ar"/>
        </w:rPr>
        <w:t>六、学位论文与学位授予</w:t>
      </w:r>
    </w:p>
    <w:p>
      <w:pPr>
        <w:ind w:firstLine="560" w:firstLineChars="200"/>
        <w:rPr>
          <w:rFonts w:ascii="仿宋-GB2312" w:hAnsi="仿宋-GB2312" w:eastAsia="仿宋-GB2312" w:cs="仿宋-GB2312"/>
          <w:color w:val="FF0000"/>
          <w:sz w:val="28"/>
          <w:szCs w:val="28"/>
          <w:lang w:bidi="ar"/>
        </w:rPr>
      </w:pPr>
      <w:r>
        <w:rPr>
          <w:rFonts w:hint="eastAsia" w:ascii="仿宋-GB2312" w:hAnsi="仿宋-GB2312" w:eastAsia="仿宋-GB2312" w:cs="仿宋-GB2312"/>
          <w:color w:val="FF0000"/>
          <w:sz w:val="28"/>
          <w:szCs w:val="28"/>
          <w:lang w:bidi="ar"/>
        </w:rPr>
        <w:t>（一）开题要求和中期检查</w:t>
      </w:r>
    </w:p>
    <w:p>
      <w:pPr>
        <w:ind w:firstLine="560" w:firstLineChars="200"/>
        <w:rPr>
          <w:rFonts w:hint="eastAsia" w:ascii="仿宋_GB2312" w:hAnsi="Times New Roman" w:eastAsia="仿宋_GB2312" w:cs="仿宋_GB2312"/>
          <w:b/>
          <w:bCs/>
          <w:color w:val="FF0000"/>
          <w:sz w:val="32"/>
          <w:szCs w:val="32"/>
          <w:lang w:bidi="ar"/>
        </w:rPr>
      </w:pPr>
      <w:r>
        <w:rPr>
          <w:rFonts w:hint="eastAsia" w:ascii="仿宋-GB2312" w:hAnsi="仿宋-GB2312" w:eastAsia="仿宋-GB2312" w:cs="仿宋-GB2312"/>
          <w:color w:val="FF0000"/>
          <w:sz w:val="28"/>
          <w:szCs w:val="28"/>
          <w:lang w:bidi="ar"/>
        </w:rPr>
        <w:t>（二）论文撰写与答辩</w:t>
      </w:r>
    </w:p>
    <w:p>
      <w:pPr>
        <w:spacing w:line="360" w:lineRule="auto"/>
        <w:ind w:firstLine="643" w:firstLineChars="200"/>
        <w:rPr>
          <w:rFonts w:ascii="仿宋_GB2312" w:hAnsi="Times New Roman" w:eastAsia="仿宋_GB2312" w:cs="仿宋_GB2312"/>
          <w:b/>
          <w:bCs/>
          <w:sz w:val="32"/>
          <w:szCs w:val="32"/>
          <w:lang w:bidi="ar"/>
        </w:rPr>
      </w:pPr>
      <w:r>
        <w:rPr>
          <w:rFonts w:hint="eastAsia" w:ascii="仿宋_GB2312" w:hAnsi="Times New Roman" w:eastAsia="仿宋_GB2312" w:cs="仿宋_GB2312"/>
          <w:b/>
          <w:bCs/>
          <w:sz w:val="32"/>
          <w:szCs w:val="32"/>
          <w:lang w:bidi="ar"/>
        </w:rPr>
        <w:t>七、毕业及学位授予</w:t>
      </w:r>
    </w:p>
    <w:p>
      <w:pPr>
        <w:ind w:firstLine="560" w:firstLineChars="200"/>
        <w:rPr>
          <w:rFonts w:ascii="仿宋-GB2312" w:hAnsi="仿宋-GB2312" w:eastAsia="仿宋-GB2312" w:cs="仿宋-GB2312"/>
          <w:sz w:val="28"/>
          <w:szCs w:val="28"/>
          <w:lang w:bidi="ar"/>
        </w:rPr>
      </w:pPr>
      <w:r>
        <w:rPr>
          <w:rFonts w:hint="eastAsia" w:ascii="仿宋-GB2312" w:hAnsi="仿宋-GB2312" w:eastAsia="仿宋-GB2312" w:cs="仿宋-GB2312"/>
          <w:sz w:val="28"/>
          <w:szCs w:val="28"/>
          <w:lang w:bidi="ar"/>
        </w:rPr>
        <w:t>研究生在修业年限内按照培养方案要求，修满应修学分，完成必修环节，通过学位论文答辩，准予毕业并颁发研究生毕业证书。学位授予工作按照《南京体育学院学位授予工作细则》执行，符合学位授予条件者，经学校学位评定委员会审核，授予教育硕士专业学位。</w:t>
      </w:r>
    </w:p>
    <w:p>
      <w:pPr>
        <w:spacing w:line="360" w:lineRule="auto"/>
        <w:ind w:firstLine="643" w:firstLineChars="200"/>
        <w:rPr>
          <w:rFonts w:ascii="仿宋_GB2312" w:hAnsi="Times New Roman" w:eastAsia="仿宋_GB2312" w:cs="仿宋_GB2312"/>
          <w:b/>
          <w:bCs/>
          <w:sz w:val="32"/>
          <w:szCs w:val="32"/>
          <w:lang w:bidi="ar"/>
        </w:rPr>
      </w:pPr>
      <w:r>
        <w:rPr>
          <w:rFonts w:hint="eastAsia" w:ascii="仿宋_GB2312" w:hAnsi="Times New Roman" w:eastAsia="仿宋_GB2312" w:cs="仿宋_GB2312"/>
          <w:b/>
          <w:bCs/>
          <w:sz w:val="32"/>
          <w:szCs w:val="32"/>
          <w:lang w:bidi="ar"/>
        </w:rPr>
        <w:t>八、其他</w:t>
      </w:r>
    </w:p>
    <w:p>
      <w:pPr>
        <w:ind w:firstLine="560" w:firstLineChars="200"/>
        <w:rPr>
          <w:rFonts w:ascii="仿宋-GB2312" w:hAnsi="仿宋-GB2312" w:eastAsia="仿宋-GB2312" w:cs="仿宋-GB2312"/>
          <w:sz w:val="28"/>
          <w:szCs w:val="28"/>
          <w:lang w:bidi="ar"/>
        </w:rPr>
      </w:pPr>
      <w:r>
        <w:rPr>
          <w:rFonts w:hint="eastAsia" w:ascii="仿宋-GB2312" w:hAnsi="仿宋-GB2312" w:eastAsia="仿宋-GB2312" w:cs="仿宋-GB2312"/>
          <w:sz w:val="28"/>
          <w:szCs w:val="28"/>
          <w:lang w:bidi="ar"/>
        </w:rPr>
        <w:t xml:space="preserve">1.培养方案的制定和修订工作按照全国教育专业学位研究生教育指导委员会“全日制教育硕士专业学位研究生指导性培养方案（修订）”的统一要求，由学校统一布置，由南京体育学院学术指导委员会审核，经学校批准备案后执行。 </w:t>
      </w:r>
    </w:p>
    <w:p>
      <w:pPr>
        <w:ind w:firstLine="560" w:firstLineChars="200"/>
        <w:rPr>
          <w:rFonts w:ascii="仿宋-GB2312" w:hAnsi="仿宋-GB2312" w:eastAsia="仿宋-GB2312" w:cs="仿宋-GB2312"/>
          <w:sz w:val="28"/>
          <w:szCs w:val="28"/>
          <w:lang w:bidi="ar"/>
        </w:rPr>
      </w:pPr>
      <w:r>
        <w:rPr>
          <w:rFonts w:hint="eastAsia" w:ascii="仿宋-GB2312" w:hAnsi="仿宋-GB2312" w:eastAsia="仿宋-GB2312" w:cs="仿宋-GB2312"/>
          <w:sz w:val="28"/>
          <w:szCs w:val="28"/>
          <w:lang w:bidi="ar"/>
        </w:rPr>
        <w:t>2.培养方案一经批准，应严格执行，不得随意改动。如遇特殊情况确需修订的，必须按上述程序审批。</w:t>
      </w:r>
    </w:p>
    <w:p>
      <w:pPr>
        <w:ind w:firstLine="560" w:firstLineChars="200"/>
        <w:rPr>
          <w:rFonts w:ascii="仿宋-GB2312" w:hAnsi="仿宋-GB2312" w:eastAsia="仿宋-GB2312" w:cs="仿宋-GB2312"/>
          <w:sz w:val="28"/>
          <w:szCs w:val="28"/>
          <w:lang w:bidi="ar"/>
        </w:rPr>
      </w:pPr>
      <w:r>
        <w:rPr>
          <w:rFonts w:hint="eastAsia" w:ascii="仿宋-GB2312" w:hAnsi="仿宋-GB2312" w:eastAsia="仿宋-GB2312" w:cs="仿宋-GB2312"/>
          <w:sz w:val="28"/>
          <w:szCs w:val="28"/>
          <w:lang w:bidi="ar"/>
        </w:rPr>
        <w:t xml:space="preserve">3.指导教师或指导小组应按照培养方案的要求，根据因材施教的原则，指导研究生制定出个人培养计划。 </w:t>
      </w:r>
    </w:p>
    <w:p>
      <w:pPr>
        <w:ind w:firstLine="560" w:firstLineChars="200"/>
        <w:rPr>
          <w:rFonts w:ascii="仿宋-GB2312" w:hAnsi="仿宋-GB2312" w:eastAsia="仿宋-GB2312" w:cs="仿宋-GB2312"/>
          <w:sz w:val="28"/>
          <w:szCs w:val="28"/>
          <w:lang w:bidi="ar"/>
        </w:rPr>
      </w:pPr>
      <w:r>
        <w:rPr>
          <w:rFonts w:hint="eastAsia" w:ascii="仿宋-GB2312" w:hAnsi="仿宋-GB2312" w:eastAsia="仿宋-GB2312" w:cs="仿宋-GB2312"/>
          <w:sz w:val="28"/>
          <w:szCs w:val="28"/>
          <w:lang w:bidi="ar"/>
        </w:rPr>
        <w:t>4.本方案适用于“学科教学（体育）”领域全日制教育硕士专业学位研究生。</w:t>
      </w:r>
    </w:p>
    <w:p>
      <w:pPr>
        <w:ind w:firstLine="560" w:firstLineChars="200"/>
        <w:rPr>
          <w:rFonts w:ascii="仿宋-GB2312" w:hAnsi="仿宋-GB2312" w:eastAsia="仿宋-GB2312" w:cs="仿宋-GB2312"/>
          <w:sz w:val="28"/>
          <w:szCs w:val="28"/>
          <w:lang w:bidi="ar"/>
        </w:rPr>
      </w:pPr>
      <w:r>
        <w:rPr>
          <w:rFonts w:hint="eastAsia" w:ascii="仿宋-GB2312" w:hAnsi="仿宋-GB2312" w:eastAsia="仿宋-GB2312" w:cs="仿宋-GB2312"/>
          <w:sz w:val="28"/>
          <w:szCs w:val="28"/>
          <w:lang w:bidi="ar"/>
        </w:rPr>
        <w:br w:type="page"/>
      </w:r>
    </w:p>
    <w:p>
      <w:pPr>
        <w:spacing w:line="360" w:lineRule="auto"/>
        <w:rPr>
          <w:rFonts w:ascii="Times New Roman" w:hAnsi="Times New Roman"/>
          <w:b/>
        </w:rPr>
      </w:pPr>
      <w:r>
        <w:rPr>
          <w:rFonts w:hint="eastAsia" w:ascii="Times New Roman" w:hAnsi="Times New Roman"/>
          <w:b/>
        </w:rPr>
        <w:t>附：“学科教学（体育）”领域全日制教育硕士专业学位研究生课程设置表</w:t>
      </w:r>
    </w:p>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434"/>
        <w:gridCol w:w="1464"/>
        <w:gridCol w:w="493"/>
        <w:gridCol w:w="2903"/>
        <w:gridCol w:w="586"/>
        <w:gridCol w:w="600"/>
        <w:gridCol w:w="614"/>
        <w:gridCol w:w="627"/>
        <w:gridCol w:w="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1127" w:type="pct"/>
            <w:gridSpan w:val="2"/>
            <w:noWrap/>
            <w:vAlign w:val="center"/>
          </w:tcPr>
          <w:p>
            <w:pPr>
              <w:spacing w:line="276" w:lineRule="auto"/>
              <w:jc w:val="center"/>
              <w:rPr>
                <w:rFonts w:ascii="Times New Roman" w:hAnsi="Times New Roman"/>
              </w:rPr>
            </w:pPr>
            <w:r>
              <w:rPr>
                <w:rFonts w:hint="eastAsia" w:ascii="Times New Roman" w:hAnsi="Times New Roman"/>
              </w:rPr>
              <w:t>课程类别</w:t>
            </w:r>
          </w:p>
        </w:tc>
        <w:tc>
          <w:tcPr>
            <w:tcW w:w="292" w:type="pct"/>
            <w:noWrap/>
            <w:vAlign w:val="center"/>
          </w:tcPr>
          <w:p>
            <w:pPr>
              <w:spacing w:line="276" w:lineRule="auto"/>
              <w:jc w:val="center"/>
              <w:rPr>
                <w:rFonts w:ascii="Times New Roman" w:hAnsi="Times New Roman"/>
              </w:rPr>
            </w:pPr>
            <w:r>
              <w:rPr>
                <w:rFonts w:hint="eastAsia" w:ascii="Times New Roman" w:hAnsi="Times New Roman"/>
              </w:rPr>
              <w:t>编号</w:t>
            </w:r>
          </w:p>
        </w:tc>
        <w:tc>
          <w:tcPr>
            <w:tcW w:w="1724" w:type="pct"/>
            <w:noWrap/>
            <w:vAlign w:val="center"/>
          </w:tcPr>
          <w:p>
            <w:pPr>
              <w:spacing w:line="276" w:lineRule="auto"/>
              <w:jc w:val="center"/>
              <w:rPr>
                <w:rFonts w:ascii="Times New Roman" w:hAnsi="Times New Roman"/>
              </w:rPr>
            </w:pPr>
            <w:r>
              <w:rPr>
                <w:rFonts w:hint="eastAsia" w:ascii="Times New Roman" w:hAnsi="Times New Roman"/>
              </w:rPr>
              <w:t>课程名称</w:t>
            </w:r>
          </w:p>
        </w:tc>
        <w:tc>
          <w:tcPr>
            <w:tcW w:w="348" w:type="pct"/>
            <w:noWrap/>
            <w:vAlign w:val="center"/>
          </w:tcPr>
          <w:p>
            <w:pPr>
              <w:spacing w:line="276" w:lineRule="auto"/>
              <w:jc w:val="center"/>
              <w:rPr>
                <w:rFonts w:ascii="Times New Roman" w:hAnsi="Times New Roman"/>
              </w:rPr>
            </w:pPr>
            <w:r>
              <w:rPr>
                <w:rFonts w:hint="eastAsia" w:ascii="Times New Roman" w:hAnsi="Times New Roman"/>
              </w:rPr>
              <w:t>学时</w:t>
            </w:r>
          </w:p>
        </w:tc>
        <w:tc>
          <w:tcPr>
            <w:tcW w:w="356" w:type="pct"/>
            <w:noWrap/>
            <w:vAlign w:val="center"/>
          </w:tcPr>
          <w:p>
            <w:pPr>
              <w:spacing w:line="276" w:lineRule="auto"/>
              <w:jc w:val="center"/>
              <w:rPr>
                <w:rFonts w:ascii="Times New Roman" w:hAnsi="Times New Roman"/>
              </w:rPr>
            </w:pPr>
            <w:r>
              <w:rPr>
                <w:rFonts w:hint="eastAsia" w:ascii="Times New Roman" w:hAnsi="Times New Roman"/>
              </w:rPr>
              <w:t>学分</w:t>
            </w:r>
          </w:p>
        </w:tc>
        <w:tc>
          <w:tcPr>
            <w:tcW w:w="364" w:type="pct"/>
            <w:noWrap/>
            <w:vAlign w:val="center"/>
          </w:tcPr>
          <w:p>
            <w:pPr>
              <w:spacing w:line="276" w:lineRule="auto"/>
              <w:jc w:val="center"/>
              <w:rPr>
                <w:rFonts w:ascii="Times New Roman" w:hAnsi="Times New Roman"/>
              </w:rPr>
            </w:pPr>
            <w:r>
              <w:rPr>
                <w:rFonts w:hint="eastAsia" w:ascii="Times New Roman" w:hAnsi="Times New Roman"/>
              </w:rPr>
              <w:t>开课</w:t>
            </w:r>
          </w:p>
          <w:p>
            <w:pPr>
              <w:spacing w:line="276" w:lineRule="auto"/>
              <w:jc w:val="center"/>
              <w:rPr>
                <w:rFonts w:ascii="Times New Roman" w:hAnsi="Times New Roman"/>
              </w:rPr>
            </w:pPr>
            <w:r>
              <w:rPr>
                <w:rFonts w:hint="eastAsia" w:ascii="Times New Roman" w:hAnsi="Times New Roman"/>
              </w:rPr>
              <w:t>学期</w:t>
            </w:r>
          </w:p>
        </w:tc>
        <w:tc>
          <w:tcPr>
            <w:tcW w:w="372" w:type="pct"/>
            <w:noWrap/>
            <w:vAlign w:val="center"/>
          </w:tcPr>
          <w:p>
            <w:pPr>
              <w:spacing w:line="276" w:lineRule="auto"/>
              <w:jc w:val="center"/>
              <w:rPr>
                <w:rFonts w:hint="eastAsia" w:ascii="Times New Roman" w:hAnsi="Times New Roman"/>
                <w:lang w:val="en-US" w:eastAsia="zh-CN"/>
              </w:rPr>
            </w:pPr>
            <w:r>
              <w:rPr>
                <w:rFonts w:hint="eastAsia" w:ascii="Times New Roman" w:hAnsi="Times New Roman"/>
                <w:lang w:val="en-US" w:eastAsia="zh-CN"/>
              </w:rPr>
              <w:t>考核</w:t>
            </w:r>
          </w:p>
          <w:p>
            <w:pPr>
              <w:spacing w:line="276" w:lineRule="auto"/>
              <w:jc w:val="center"/>
              <w:rPr>
                <w:rFonts w:hint="default" w:ascii="Times New Roman" w:hAnsi="Times New Roman"/>
                <w:lang w:val="en-US" w:eastAsia="zh-CN"/>
              </w:rPr>
            </w:pPr>
            <w:r>
              <w:rPr>
                <w:rFonts w:hint="eastAsia" w:ascii="Times New Roman" w:hAnsi="Times New Roman"/>
                <w:lang w:val="en-US" w:eastAsia="zh-CN"/>
              </w:rPr>
              <w:t>方式</w:t>
            </w:r>
          </w:p>
        </w:tc>
        <w:tc>
          <w:tcPr>
            <w:tcW w:w="413" w:type="pct"/>
            <w:noWrap/>
            <w:vAlign w:val="center"/>
          </w:tcPr>
          <w:p>
            <w:pPr>
              <w:spacing w:line="276" w:lineRule="auto"/>
              <w:jc w:val="center"/>
              <w:rPr>
                <w:rFonts w:ascii="Times New Roman" w:hAnsi="Times New Roman"/>
              </w:rPr>
            </w:pPr>
            <w:r>
              <w:rPr>
                <w:rFonts w:hint="eastAsia" w:ascii="Times New Roman" w:hAnsi="Times New Roma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1127" w:type="pct"/>
            <w:gridSpan w:val="2"/>
            <w:vMerge w:val="restart"/>
            <w:noWrap/>
            <w:textDirection w:val="tbRlV"/>
            <w:vAlign w:val="center"/>
          </w:tcPr>
          <w:p>
            <w:pPr>
              <w:spacing w:line="276" w:lineRule="auto"/>
              <w:jc w:val="center"/>
              <w:rPr>
                <w:rFonts w:hint="default" w:ascii="Times New Roman" w:hAnsi="Times New Roman" w:eastAsiaTheme="minorEastAsia"/>
                <w:sz w:val="22"/>
                <w:szCs w:val="24"/>
                <w:lang w:val="en-US" w:eastAsia="zh-CN"/>
              </w:rPr>
            </w:pPr>
            <w:r>
              <w:rPr>
                <w:rFonts w:hint="eastAsia" w:ascii="Times New Roman" w:hAnsi="Times New Roman"/>
                <w:sz w:val="22"/>
                <w:szCs w:val="24"/>
                <w:lang w:val="en-US" w:eastAsia="zh-CN"/>
              </w:rPr>
              <w:t>公共必修课</w:t>
            </w:r>
          </w:p>
        </w:tc>
        <w:tc>
          <w:tcPr>
            <w:tcW w:w="292" w:type="pct"/>
            <w:noWrap/>
            <w:vAlign w:val="center"/>
          </w:tcPr>
          <w:p>
            <w:pPr>
              <w:spacing w:line="276" w:lineRule="auto"/>
              <w:jc w:val="center"/>
              <w:rPr>
                <w:rFonts w:ascii="Times New Roman" w:hAnsi="Times New Roman"/>
              </w:rPr>
            </w:pPr>
            <w:r>
              <w:rPr>
                <w:rFonts w:hint="eastAsia" w:ascii="Times New Roman" w:hAnsi="Times New Roman"/>
              </w:rPr>
              <w:t>1</w:t>
            </w:r>
          </w:p>
        </w:tc>
        <w:tc>
          <w:tcPr>
            <w:tcW w:w="1724"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外语</w:t>
            </w:r>
          </w:p>
        </w:tc>
        <w:tc>
          <w:tcPr>
            <w:tcW w:w="348" w:type="pct"/>
            <w:noWrap/>
            <w:vAlign w:val="center"/>
          </w:tcPr>
          <w:p>
            <w:pPr>
              <w:spacing w:line="276" w:lineRule="auto"/>
              <w:jc w:val="center"/>
              <w:rPr>
                <w:rFonts w:ascii="Times New Roman" w:hAnsi="Times New Roman"/>
              </w:rPr>
            </w:pPr>
            <w:r>
              <w:rPr>
                <w:rFonts w:hint="eastAsia" w:ascii="Times New Roman" w:hAnsi="Times New Roman"/>
              </w:rPr>
              <w:t>32</w:t>
            </w:r>
          </w:p>
        </w:tc>
        <w:tc>
          <w:tcPr>
            <w:tcW w:w="356"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2</w:t>
            </w:r>
          </w:p>
        </w:tc>
        <w:tc>
          <w:tcPr>
            <w:tcW w:w="364"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1</w:t>
            </w:r>
          </w:p>
        </w:tc>
        <w:tc>
          <w:tcPr>
            <w:tcW w:w="372" w:type="pct"/>
            <w:vAlign w:val="center"/>
          </w:tcPr>
          <w:p>
            <w:pPr>
              <w:spacing w:line="276" w:lineRule="auto"/>
              <w:jc w:val="center"/>
              <w:rPr>
                <w:rFonts w:hint="default" w:ascii="Times New Roman" w:hAnsi="Times New Roman"/>
                <w:lang w:val="en-US" w:eastAsia="zh-CN"/>
              </w:rPr>
            </w:pPr>
            <w:r>
              <w:rPr>
                <w:rFonts w:hint="eastAsia" w:ascii="Times New Roman" w:hAnsi="Times New Roman"/>
                <w:lang w:val="en-US" w:eastAsia="zh-CN"/>
              </w:rPr>
              <w:t>考试</w:t>
            </w:r>
          </w:p>
        </w:tc>
        <w:tc>
          <w:tcPr>
            <w:tcW w:w="413" w:type="pct"/>
            <w:vMerge w:val="restart"/>
            <w:vAlign w:val="center"/>
          </w:tcPr>
          <w:p>
            <w:pPr>
              <w:spacing w:line="276" w:lineRule="auto"/>
              <w:jc w:val="center"/>
              <w:rPr>
                <w:rFonts w:ascii="Times New Roman" w:hAnsi="Times New Roman"/>
              </w:rPr>
            </w:pPr>
            <w:r>
              <w:rPr>
                <w:rFonts w:hint="eastAsia" w:ascii="Times New Roman" w:hAnsi="Times New Roman"/>
                <w:lang w:val="en-US" w:eastAsia="zh-CN"/>
              </w:rPr>
              <w:t>6</w:t>
            </w:r>
            <w:r>
              <w:rPr>
                <w:rFonts w:hint="eastAsia" w:ascii="Times New Roman" w:hAnsi="Times New Roman"/>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1" w:hRule="atLeast"/>
        </w:trPr>
        <w:tc>
          <w:tcPr>
            <w:tcW w:w="1127" w:type="pct"/>
            <w:gridSpan w:val="2"/>
            <w:vMerge w:val="continue"/>
            <w:textDirection w:val="tbRlV"/>
            <w:vAlign w:val="center"/>
          </w:tcPr>
          <w:p>
            <w:pPr>
              <w:spacing w:line="276" w:lineRule="auto"/>
              <w:jc w:val="center"/>
              <w:rPr>
                <w:rFonts w:ascii="Times New Roman" w:hAnsi="Times New Roman"/>
                <w:sz w:val="22"/>
                <w:szCs w:val="24"/>
              </w:rPr>
            </w:pPr>
          </w:p>
        </w:tc>
        <w:tc>
          <w:tcPr>
            <w:tcW w:w="292" w:type="pct"/>
            <w:noWrap/>
            <w:vAlign w:val="center"/>
          </w:tcPr>
          <w:p>
            <w:pPr>
              <w:spacing w:line="276" w:lineRule="auto"/>
              <w:jc w:val="center"/>
              <w:rPr>
                <w:rFonts w:ascii="Times New Roman" w:hAnsi="Times New Roman"/>
              </w:rPr>
            </w:pPr>
            <w:r>
              <w:rPr>
                <w:rFonts w:hint="eastAsia" w:ascii="Times New Roman" w:hAnsi="Times New Roman"/>
              </w:rPr>
              <w:t>2</w:t>
            </w:r>
          </w:p>
        </w:tc>
        <w:tc>
          <w:tcPr>
            <w:tcW w:w="1724" w:type="pct"/>
            <w:noWrap/>
            <w:vAlign w:val="center"/>
          </w:tcPr>
          <w:p>
            <w:pPr>
              <w:spacing w:line="276" w:lineRule="auto"/>
              <w:jc w:val="center"/>
              <w:rPr>
                <w:rFonts w:hint="eastAsia" w:ascii="Times New Roman" w:hAnsi="Times New Roman"/>
                <w:lang w:val="en-US" w:eastAsia="zh-CN"/>
              </w:rPr>
            </w:pPr>
            <w:r>
              <w:rPr>
                <w:rFonts w:hint="eastAsia" w:ascii="Times New Roman" w:hAnsi="Times New Roman"/>
                <w:lang w:val="en-US" w:eastAsia="zh-CN"/>
              </w:rPr>
              <w:t>新时代中国特色社会主义理论与实践</w:t>
            </w:r>
          </w:p>
        </w:tc>
        <w:tc>
          <w:tcPr>
            <w:tcW w:w="348" w:type="pct"/>
            <w:noWrap/>
            <w:vAlign w:val="center"/>
          </w:tcPr>
          <w:p>
            <w:pPr>
              <w:spacing w:line="276" w:lineRule="auto"/>
              <w:jc w:val="center"/>
              <w:rPr>
                <w:rFonts w:ascii="Times New Roman" w:hAnsi="Times New Roman"/>
              </w:rPr>
            </w:pPr>
            <w:r>
              <w:rPr>
                <w:rFonts w:hint="eastAsia" w:ascii="Times New Roman" w:hAnsi="Times New Roman"/>
              </w:rPr>
              <w:t>32</w:t>
            </w:r>
          </w:p>
        </w:tc>
        <w:tc>
          <w:tcPr>
            <w:tcW w:w="356" w:type="pct"/>
            <w:noWrap/>
            <w:vAlign w:val="center"/>
          </w:tcPr>
          <w:p>
            <w:pPr>
              <w:spacing w:line="276" w:lineRule="auto"/>
              <w:jc w:val="center"/>
              <w:rPr>
                <w:rFonts w:hint="default" w:ascii="Times New Roman" w:hAnsi="Times New Roman" w:eastAsiaTheme="minorEastAsia"/>
                <w:lang w:val="en-US" w:eastAsia="zh-CN"/>
              </w:rPr>
            </w:pPr>
            <w:r>
              <w:rPr>
                <w:rFonts w:hint="eastAsia" w:ascii="Times New Roman" w:hAnsi="Times New Roman"/>
                <w:lang w:val="en-US" w:eastAsia="zh-CN"/>
              </w:rPr>
              <w:t>2</w:t>
            </w:r>
          </w:p>
        </w:tc>
        <w:tc>
          <w:tcPr>
            <w:tcW w:w="364"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1</w:t>
            </w:r>
          </w:p>
        </w:tc>
        <w:tc>
          <w:tcPr>
            <w:tcW w:w="372" w:type="pct"/>
            <w:vAlign w:val="center"/>
          </w:tcPr>
          <w:p>
            <w:pPr>
              <w:spacing w:line="276" w:lineRule="auto"/>
              <w:jc w:val="center"/>
              <w:rPr>
                <w:rFonts w:hint="default" w:ascii="Times New Roman" w:hAnsi="Times New Roman"/>
                <w:lang w:val="en-US" w:eastAsia="zh-CN"/>
              </w:rPr>
            </w:pPr>
            <w:r>
              <w:rPr>
                <w:rFonts w:hint="eastAsia" w:ascii="Times New Roman" w:hAnsi="Times New Roman"/>
                <w:lang w:val="en-US" w:eastAsia="zh-CN"/>
              </w:rPr>
              <w:t>考试</w:t>
            </w: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trPr>
        <w:tc>
          <w:tcPr>
            <w:tcW w:w="1127" w:type="pct"/>
            <w:gridSpan w:val="2"/>
            <w:vMerge w:val="continue"/>
            <w:textDirection w:val="tbRlV"/>
            <w:vAlign w:val="center"/>
          </w:tcPr>
          <w:p>
            <w:pPr>
              <w:spacing w:line="276" w:lineRule="auto"/>
              <w:jc w:val="center"/>
              <w:rPr>
                <w:rFonts w:ascii="Times New Roman" w:hAnsi="Times New Roman"/>
                <w:sz w:val="22"/>
                <w:szCs w:val="24"/>
              </w:rPr>
            </w:pPr>
          </w:p>
        </w:tc>
        <w:tc>
          <w:tcPr>
            <w:tcW w:w="292"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3</w:t>
            </w:r>
          </w:p>
        </w:tc>
        <w:tc>
          <w:tcPr>
            <w:tcW w:w="1724" w:type="pct"/>
            <w:noWrap/>
            <w:vAlign w:val="center"/>
          </w:tcPr>
          <w:p>
            <w:pPr>
              <w:spacing w:line="276" w:lineRule="auto"/>
              <w:jc w:val="center"/>
              <w:rPr>
                <w:rFonts w:hint="eastAsia" w:ascii="Times New Roman" w:hAnsi="Times New Roman"/>
                <w:lang w:val="en-US" w:eastAsia="zh-CN"/>
              </w:rPr>
            </w:pPr>
            <w:r>
              <w:rPr>
                <w:rFonts w:hint="eastAsia" w:ascii="Times New Roman" w:hAnsi="Times New Roman"/>
                <w:lang w:val="en-US" w:eastAsia="zh-CN"/>
              </w:rPr>
              <w:t>习近平总书记关于教育的重要论述研究</w:t>
            </w:r>
          </w:p>
        </w:tc>
        <w:tc>
          <w:tcPr>
            <w:tcW w:w="348" w:type="pct"/>
            <w:noWrap/>
            <w:vAlign w:val="center"/>
          </w:tcPr>
          <w:p>
            <w:pPr>
              <w:spacing w:line="276" w:lineRule="auto"/>
              <w:jc w:val="center"/>
              <w:rPr>
                <w:rFonts w:hint="default" w:ascii="Times New Roman" w:hAnsi="Times New Roman"/>
                <w:lang w:val="en-US" w:eastAsia="zh-CN"/>
              </w:rPr>
            </w:pPr>
            <w:r>
              <w:rPr>
                <w:rFonts w:hint="eastAsia" w:ascii="Times New Roman" w:hAnsi="Times New Roman"/>
                <w:lang w:val="en-US" w:eastAsia="zh-CN"/>
              </w:rPr>
              <w:t>18</w:t>
            </w:r>
          </w:p>
        </w:tc>
        <w:tc>
          <w:tcPr>
            <w:tcW w:w="356" w:type="pct"/>
            <w:noWrap/>
            <w:vAlign w:val="center"/>
          </w:tcPr>
          <w:p>
            <w:pPr>
              <w:spacing w:line="276" w:lineRule="auto"/>
              <w:jc w:val="center"/>
              <w:rPr>
                <w:rFonts w:hint="default" w:ascii="Times New Roman" w:hAnsi="Times New Roman"/>
                <w:lang w:val="en-US" w:eastAsia="zh-CN"/>
              </w:rPr>
            </w:pPr>
            <w:r>
              <w:rPr>
                <w:rFonts w:hint="eastAsia" w:ascii="Times New Roman" w:hAnsi="Times New Roman"/>
                <w:lang w:val="en-US" w:eastAsia="zh-CN"/>
              </w:rPr>
              <w:t>1</w:t>
            </w:r>
          </w:p>
        </w:tc>
        <w:tc>
          <w:tcPr>
            <w:tcW w:w="364"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2</w:t>
            </w:r>
          </w:p>
        </w:tc>
        <w:tc>
          <w:tcPr>
            <w:tcW w:w="372" w:type="pct"/>
            <w:vAlign w:val="center"/>
          </w:tcPr>
          <w:p>
            <w:pPr>
              <w:spacing w:line="276" w:lineRule="auto"/>
              <w:jc w:val="center"/>
              <w:rPr>
                <w:rFonts w:hint="default" w:ascii="Times New Roman" w:hAnsi="Times New Roman"/>
                <w:lang w:val="en-US" w:eastAsia="zh-CN"/>
              </w:rPr>
            </w:pPr>
            <w:r>
              <w:rPr>
                <w:rFonts w:hint="eastAsia" w:ascii="Times New Roman" w:hAnsi="Times New Roman"/>
                <w:lang w:val="en-US" w:eastAsia="zh-CN"/>
              </w:rPr>
              <w:t>考试</w:t>
            </w: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trPr>
        <w:tc>
          <w:tcPr>
            <w:tcW w:w="1127" w:type="pct"/>
            <w:gridSpan w:val="2"/>
            <w:vMerge w:val="continue"/>
            <w:textDirection w:val="tbRlV"/>
            <w:vAlign w:val="center"/>
          </w:tcPr>
          <w:p>
            <w:pPr>
              <w:spacing w:line="276" w:lineRule="auto"/>
              <w:jc w:val="center"/>
              <w:rPr>
                <w:rFonts w:ascii="Times New Roman" w:hAnsi="Times New Roman"/>
                <w:sz w:val="22"/>
                <w:szCs w:val="24"/>
              </w:rPr>
            </w:pPr>
          </w:p>
        </w:tc>
        <w:tc>
          <w:tcPr>
            <w:tcW w:w="292"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4</w:t>
            </w:r>
          </w:p>
        </w:tc>
        <w:tc>
          <w:tcPr>
            <w:tcW w:w="1724" w:type="pct"/>
            <w:noWrap/>
            <w:vAlign w:val="center"/>
          </w:tcPr>
          <w:p>
            <w:pPr>
              <w:keepNext w:val="0"/>
              <w:keepLines w:val="0"/>
              <w:widowControl/>
              <w:suppressLineNumbers w:val="0"/>
              <w:jc w:val="center"/>
              <w:rPr>
                <w:rFonts w:hint="default" w:ascii="Times New Roman" w:hAnsi="Times New Roman" w:eastAsiaTheme="minorEastAsia"/>
                <w:lang w:val="en-US" w:eastAsia="zh-CN"/>
              </w:rPr>
            </w:pPr>
            <w:r>
              <w:rPr>
                <w:rFonts w:hint="eastAsia" w:ascii="Times New Roman" w:hAnsi="Times New Roman"/>
                <w:lang w:val="en-US" w:eastAsia="zh-CN"/>
              </w:rPr>
              <w:t>自然辩证法</w:t>
            </w:r>
          </w:p>
        </w:tc>
        <w:tc>
          <w:tcPr>
            <w:tcW w:w="348" w:type="pct"/>
            <w:noWrap/>
            <w:vAlign w:val="center"/>
          </w:tcPr>
          <w:p>
            <w:pPr>
              <w:spacing w:line="276" w:lineRule="auto"/>
              <w:jc w:val="center"/>
              <w:rPr>
                <w:rFonts w:hint="default" w:ascii="Times New Roman" w:hAnsi="Times New Roman"/>
                <w:lang w:val="en-US" w:eastAsia="zh-CN"/>
              </w:rPr>
            </w:pPr>
            <w:r>
              <w:rPr>
                <w:rFonts w:hint="eastAsia" w:ascii="Times New Roman" w:hAnsi="Times New Roman"/>
                <w:lang w:val="en-US" w:eastAsia="zh-CN"/>
              </w:rPr>
              <w:t>18</w:t>
            </w:r>
          </w:p>
        </w:tc>
        <w:tc>
          <w:tcPr>
            <w:tcW w:w="356" w:type="pct"/>
            <w:noWrap/>
            <w:vAlign w:val="center"/>
          </w:tcPr>
          <w:p>
            <w:pPr>
              <w:spacing w:line="276" w:lineRule="auto"/>
              <w:jc w:val="center"/>
              <w:rPr>
                <w:rFonts w:hint="default" w:ascii="Times New Roman" w:hAnsi="Times New Roman"/>
                <w:lang w:val="en-US" w:eastAsia="zh-CN"/>
              </w:rPr>
            </w:pPr>
            <w:r>
              <w:rPr>
                <w:rFonts w:hint="eastAsia" w:ascii="Times New Roman" w:hAnsi="Times New Roman"/>
                <w:lang w:val="en-US" w:eastAsia="zh-CN"/>
              </w:rPr>
              <w:t>1</w:t>
            </w:r>
          </w:p>
        </w:tc>
        <w:tc>
          <w:tcPr>
            <w:tcW w:w="364"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2</w:t>
            </w:r>
          </w:p>
        </w:tc>
        <w:tc>
          <w:tcPr>
            <w:tcW w:w="372" w:type="pct"/>
            <w:vAlign w:val="center"/>
          </w:tcPr>
          <w:p>
            <w:pPr>
              <w:spacing w:line="276" w:lineRule="auto"/>
              <w:jc w:val="center"/>
              <w:rPr>
                <w:rFonts w:hint="default" w:ascii="Times New Roman" w:hAnsi="Times New Roman"/>
                <w:lang w:val="en-US" w:eastAsia="zh-CN"/>
              </w:rPr>
            </w:pPr>
            <w:r>
              <w:rPr>
                <w:rFonts w:hint="eastAsia" w:ascii="Times New Roman" w:hAnsi="Times New Roman"/>
                <w:lang w:val="en-US" w:eastAsia="zh-CN"/>
              </w:rPr>
              <w:t>考试</w:t>
            </w: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trPr>
        <w:tc>
          <w:tcPr>
            <w:tcW w:w="1127" w:type="pct"/>
            <w:gridSpan w:val="2"/>
            <w:vMerge w:val="restart"/>
            <w:textDirection w:val="tbRlV"/>
            <w:vAlign w:val="center"/>
          </w:tcPr>
          <w:p>
            <w:pPr>
              <w:spacing w:line="276" w:lineRule="auto"/>
              <w:jc w:val="center"/>
              <w:rPr>
                <w:rFonts w:ascii="Times New Roman" w:hAnsi="Times New Roman"/>
              </w:rPr>
            </w:pPr>
            <w:r>
              <w:rPr>
                <w:rFonts w:hint="eastAsia" w:ascii="Times New Roman" w:hAnsi="Times New Roman"/>
                <w:lang w:val="en-US" w:eastAsia="zh-CN"/>
              </w:rPr>
              <w:t>学位基础</w:t>
            </w:r>
            <w:r>
              <w:rPr>
                <w:rFonts w:hint="eastAsia" w:ascii="Times New Roman" w:hAnsi="Times New Roman"/>
              </w:rPr>
              <w:t>课</w:t>
            </w:r>
          </w:p>
        </w:tc>
        <w:tc>
          <w:tcPr>
            <w:tcW w:w="292"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5</w:t>
            </w:r>
          </w:p>
        </w:tc>
        <w:tc>
          <w:tcPr>
            <w:tcW w:w="1724" w:type="pct"/>
            <w:noWrap/>
            <w:vAlign w:val="center"/>
          </w:tcPr>
          <w:p>
            <w:pPr>
              <w:keepNext w:val="0"/>
              <w:keepLines w:val="0"/>
              <w:widowControl/>
              <w:suppressLineNumbers w:val="0"/>
              <w:jc w:val="center"/>
              <w:rPr>
                <w:rFonts w:hint="default" w:ascii="Times New Roman" w:hAnsi="Times New Roman" w:eastAsiaTheme="minorEastAsia"/>
                <w:lang w:val="en-US" w:eastAsia="zh-CN"/>
              </w:rPr>
            </w:pPr>
            <w:r>
              <w:rPr>
                <w:rFonts w:hint="eastAsia" w:ascii="Times New Roman" w:hAnsi="Times New Roman"/>
                <w:lang w:val="en-US" w:eastAsia="zh-CN"/>
              </w:rPr>
              <w:t>教育原理</w:t>
            </w:r>
          </w:p>
        </w:tc>
        <w:tc>
          <w:tcPr>
            <w:tcW w:w="348" w:type="pct"/>
            <w:noWrap/>
            <w:vAlign w:val="center"/>
          </w:tcPr>
          <w:p>
            <w:pPr>
              <w:spacing w:line="276" w:lineRule="auto"/>
              <w:jc w:val="center"/>
              <w:rPr>
                <w:rFonts w:hint="default" w:ascii="Times New Roman" w:hAnsi="Times New Roman" w:eastAsiaTheme="minorEastAsia"/>
                <w:lang w:val="en-US" w:eastAsia="zh-CN"/>
              </w:rPr>
            </w:pPr>
          </w:p>
        </w:tc>
        <w:tc>
          <w:tcPr>
            <w:tcW w:w="356" w:type="pct"/>
            <w:noWrap/>
            <w:vAlign w:val="center"/>
          </w:tcPr>
          <w:p>
            <w:pPr>
              <w:spacing w:line="276" w:lineRule="auto"/>
              <w:jc w:val="center"/>
              <w:rPr>
                <w:rFonts w:hint="default" w:ascii="Times New Roman" w:hAnsi="Times New Roman"/>
                <w:lang w:val="en-US" w:eastAsia="zh-CN"/>
              </w:rPr>
            </w:pPr>
            <w:r>
              <w:rPr>
                <w:rFonts w:hint="eastAsia" w:ascii="Times New Roman" w:hAnsi="Times New Roman"/>
                <w:lang w:val="en-US" w:eastAsia="zh-CN"/>
              </w:rPr>
              <w:t>2</w:t>
            </w:r>
          </w:p>
        </w:tc>
        <w:tc>
          <w:tcPr>
            <w:tcW w:w="364" w:type="pct"/>
            <w:noWrap/>
            <w:vAlign w:val="center"/>
          </w:tcPr>
          <w:p>
            <w:pPr>
              <w:spacing w:line="276" w:lineRule="auto"/>
              <w:jc w:val="center"/>
              <w:rPr>
                <w:rFonts w:hint="eastAsia" w:ascii="Times New Roman" w:hAnsi="Times New Roman"/>
              </w:rPr>
            </w:pPr>
          </w:p>
        </w:tc>
        <w:tc>
          <w:tcPr>
            <w:tcW w:w="372" w:type="pct"/>
            <w:vAlign w:val="center"/>
          </w:tcPr>
          <w:p>
            <w:pPr>
              <w:spacing w:line="276" w:lineRule="auto"/>
              <w:jc w:val="center"/>
              <w:rPr>
                <w:rFonts w:hint="eastAsia" w:ascii="Times New Roman" w:hAnsi="Times New Roman"/>
              </w:rPr>
            </w:pPr>
          </w:p>
        </w:tc>
        <w:tc>
          <w:tcPr>
            <w:tcW w:w="413" w:type="pct"/>
            <w:vMerge w:val="restart"/>
            <w:vAlign w:val="center"/>
          </w:tcPr>
          <w:p>
            <w:pPr>
              <w:spacing w:line="276" w:lineRule="auto"/>
              <w:jc w:val="center"/>
              <w:rPr>
                <w:rFonts w:hint="default" w:ascii="Times New Roman" w:hAnsi="Times New Roman" w:eastAsiaTheme="minorEastAsia"/>
                <w:lang w:val="en-US" w:eastAsia="zh-CN"/>
              </w:rPr>
            </w:pPr>
            <w:r>
              <w:rPr>
                <w:rFonts w:hint="eastAsia" w:ascii="Times New Roman" w:hAnsi="Times New Roman"/>
                <w:lang w:val="en-US" w:eastAsia="zh-CN"/>
              </w:rPr>
              <w:t>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1127" w:type="pct"/>
            <w:gridSpan w:val="2"/>
            <w:vMerge w:val="continue"/>
            <w:textDirection w:val="tbRlV"/>
            <w:vAlign w:val="center"/>
          </w:tcPr>
          <w:p>
            <w:pPr>
              <w:spacing w:line="276" w:lineRule="auto"/>
              <w:jc w:val="center"/>
              <w:rPr>
                <w:rFonts w:ascii="Times New Roman" w:hAnsi="Times New Roman"/>
              </w:rPr>
            </w:pPr>
          </w:p>
        </w:tc>
        <w:tc>
          <w:tcPr>
            <w:tcW w:w="292"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6</w:t>
            </w:r>
          </w:p>
        </w:tc>
        <w:tc>
          <w:tcPr>
            <w:tcW w:w="1724" w:type="pct"/>
            <w:noWrap/>
            <w:vAlign w:val="center"/>
          </w:tcPr>
          <w:p>
            <w:pPr>
              <w:spacing w:line="276" w:lineRule="auto"/>
              <w:jc w:val="center"/>
              <w:rPr>
                <w:rFonts w:ascii="Times New Roman" w:hAnsi="Times New Roman"/>
              </w:rPr>
            </w:pPr>
            <w:r>
              <w:rPr>
                <w:rFonts w:hint="eastAsia" w:ascii="Times New Roman" w:hAnsi="Times New Roman"/>
              </w:rPr>
              <w:t>课程与教学论</w:t>
            </w: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r>
              <w:rPr>
                <w:rFonts w:hint="eastAsia" w:ascii="Times New Roman" w:hAnsi="Times New Roman"/>
              </w:rPr>
              <w:t>2</w:t>
            </w:r>
          </w:p>
        </w:tc>
        <w:tc>
          <w:tcPr>
            <w:tcW w:w="364" w:type="pct"/>
            <w:noWrap/>
            <w:vAlign w:val="center"/>
          </w:tcPr>
          <w:p>
            <w:pPr>
              <w:spacing w:line="276" w:lineRule="auto"/>
              <w:jc w:val="center"/>
              <w:rPr>
                <w:rFonts w:ascii="Times New Roman" w:hAnsi="Times New Roman"/>
              </w:rPr>
            </w:pPr>
          </w:p>
        </w:tc>
        <w:tc>
          <w:tcPr>
            <w:tcW w:w="372" w:type="pct"/>
            <w:vAlign w:val="center"/>
          </w:tcPr>
          <w:p>
            <w:pPr>
              <w:spacing w:line="276" w:lineRule="auto"/>
              <w:jc w:val="center"/>
              <w:rPr>
                <w:rFonts w:ascii="Times New Roman" w:hAnsi="Times New Roman"/>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1127" w:type="pct"/>
            <w:gridSpan w:val="2"/>
            <w:vMerge w:val="continue"/>
            <w:textDirection w:val="tbRlV"/>
            <w:vAlign w:val="center"/>
          </w:tcPr>
          <w:p>
            <w:pPr>
              <w:spacing w:line="276" w:lineRule="auto"/>
              <w:jc w:val="center"/>
              <w:rPr>
                <w:rFonts w:ascii="Times New Roman" w:hAnsi="Times New Roman"/>
              </w:rPr>
            </w:pPr>
          </w:p>
        </w:tc>
        <w:tc>
          <w:tcPr>
            <w:tcW w:w="292"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7</w:t>
            </w:r>
          </w:p>
        </w:tc>
        <w:tc>
          <w:tcPr>
            <w:tcW w:w="1724" w:type="pct"/>
            <w:noWrap/>
            <w:vAlign w:val="center"/>
          </w:tcPr>
          <w:p>
            <w:pPr>
              <w:spacing w:line="276" w:lineRule="auto"/>
              <w:jc w:val="center"/>
              <w:rPr>
                <w:rFonts w:ascii="Times New Roman" w:hAnsi="Times New Roman"/>
              </w:rPr>
            </w:pPr>
            <w:r>
              <w:rPr>
                <w:rFonts w:hint="eastAsia" w:ascii="Times New Roman" w:hAnsi="Times New Roman"/>
              </w:rPr>
              <w:t>教育研究方法</w:t>
            </w: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r>
              <w:rPr>
                <w:rFonts w:hint="eastAsia" w:ascii="Times New Roman" w:hAnsi="Times New Roman"/>
              </w:rPr>
              <w:t>2</w:t>
            </w:r>
          </w:p>
        </w:tc>
        <w:tc>
          <w:tcPr>
            <w:tcW w:w="364" w:type="pct"/>
            <w:noWrap/>
            <w:vAlign w:val="center"/>
          </w:tcPr>
          <w:p>
            <w:pPr>
              <w:spacing w:line="276" w:lineRule="auto"/>
              <w:jc w:val="center"/>
              <w:rPr>
                <w:rFonts w:ascii="Times New Roman" w:hAnsi="Times New Roman"/>
              </w:rPr>
            </w:pPr>
          </w:p>
        </w:tc>
        <w:tc>
          <w:tcPr>
            <w:tcW w:w="372" w:type="pct"/>
            <w:vAlign w:val="center"/>
          </w:tcPr>
          <w:p>
            <w:pPr>
              <w:spacing w:line="276" w:lineRule="auto"/>
              <w:jc w:val="center"/>
              <w:rPr>
                <w:rFonts w:ascii="Times New Roman" w:hAnsi="Times New Roman"/>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1127" w:type="pct"/>
            <w:gridSpan w:val="2"/>
            <w:vMerge w:val="continue"/>
            <w:textDirection w:val="tbRlV"/>
            <w:vAlign w:val="center"/>
          </w:tcPr>
          <w:p>
            <w:pPr>
              <w:spacing w:line="276" w:lineRule="auto"/>
              <w:jc w:val="center"/>
              <w:rPr>
                <w:rFonts w:ascii="Times New Roman" w:hAnsi="Times New Roman"/>
              </w:rPr>
            </w:pPr>
          </w:p>
        </w:tc>
        <w:tc>
          <w:tcPr>
            <w:tcW w:w="292"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8</w:t>
            </w:r>
          </w:p>
        </w:tc>
        <w:tc>
          <w:tcPr>
            <w:tcW w:w="1724" w:type="pct"/>
            <w:noWrap/>
            <w:vAlign w:val="center"/>
          </w:tcPr>
          <w:p>
            <w:pPr>
              <w:spacing w:line="276" w:lineRule="auto"/>
              <w:jc w:val="center"/>
              <w:rPr>
                <w:rFonts w:ascii="Times New Roman" w:hAnsi="Times New Roman"/>
              </w:rPr>
            </w:pPr>
            <w:r>
              <w:rPr>
                <w:rFonts w:hint="eastAsia" w:ascii="Times New Roman" w:hAnsi="Times New Roman"/>
              </w:rPr>
              <w:t>青少年心理发展与教育</w:t>
            </w: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r>
              <w:rPr>
                <w:rFonts w:hint="eastAsia" w:ascii="Times New Roman" w:hAnsi="Times New Roman"/>
              </w:rPr>
              <w:t>2</w:t>
            </w:r>
          </w:p>
        </w:tc>
        <w:tc>
          <w:tcPr>
            <w:tcW w:w="364" w:type="pct"/>
            <w:noWrap/>
            <w:vAlign w:val="center"/>
          </w:tcPr>
          <w:p>
            <w:pPr>
              <w:spacing w:line="276" w:lineRule="auto"/>
              <w:jc w:val="center"/>
              <w:rPr>
                <w:rFonts w:ascii="Times New Roman" w:hAnsi="Times New Roman"/>
              </w:rPr>
            </w:pPr>
          </w:p>
        </w:tc>
        <w:tc>
          <w:tcPr>
            <w:tcW w:w="372" w:type="pct"/>
            <w:vAlign w:val="center"/>
          </w:tcPr>
          <w:p>
            <w:pPr>
              <w:spacing w:line="276" w:lineRule="auto"/>
              <w:jc w:val="center"/>
              <w:rPr>
                <w:rFonts w:ascii="Times New Roman" w:hAnsi="Times New Roman"/>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1127" w:type="pct"/>
            <w:gridSpan w:val="2"/>
            <w:vMerge w:val="restart"/>
            <w:noWrap/>
            <w:textDirection w:val="tbRlV"/>
            <w:vAlign w:val="center"/>
          </w:tcPr>
          <w:p>
            <w:pPr>
              <w:spacing w:line="276" w:lineRule="auto"/>
              <w:jc w:val="center"/>
              <w:rPr>
                <w:rFonts w:ascii="Times New Roman" w:hAnsi="Times New Roman"/>
              </w:rPr>
            </w:pPr>
            <w:r>
              <w:rPr>
                <w:rFonts w:hint="eastAsia" w:ascii="Times New Roman" w:hAnsi="Times New Roman"/>
              </w:rPr>
              <w:t>专业必修课</w:t>
            </w:r>
          </w:p>
        </w:tc>
        <w:tc>
          <w:tcPr>
            <w:tcW w:w="292"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9</w:t>
            </w:r>
          </w:p>
        </w:tc>
        <w:tc>
          <w:tcPr>
            <w:tcW w:w="1724" w:type="pct"/>
            <w:noWrap/>
            <w:vAlign w:val="center"/>
          </w:tcPr>
          <w:p>
            <w:pPr>
              <w:spacing w:line="276" w:lineRule="auto"/>
              <w:jc w:val="center"/>
              <w:rPr>
                <w:rFonts w:hint="eastAsia" w:ascii="Times New Roman" w:hAnsi="Times New Roman"/>
              </w:rPr>
            </w:pPr>
            <w:r>
              <w:rPr>
                <w:rFonts w:hint="eastAsia" w:ascii="Times New Roman" w:hAnsi="Times New Roman"/>
                <w:lang w:val="en-US" w:eastAsia="zh-CN"/>
              </w:rPr>
              <w:t>学科课程与教材研究</w:t>
            </w: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r>
              <w:rPr>
                <w:rFonts w:hint="eastAsia" w:ascii="Times New Roman" w:hAnsi="Times New Roman"/>
              </w:rPr>
              <w:t>2</w:t>
            </w:r>
          </w:p>
        </w:tc>
        <w:tc>
          <w:tcPr>
            <w:tcW w:w="364" w:type="pct"/>
            <w:noWrap/>
            <w:vAlign w:val="center"/>
          </w:tcPr>
          <w:p>
            <w:pPr>
              <w:spacing w:line="276" w:lineRule="auto"/>
              <w:jc w:val="center"/>
              <w:rPr>
                <w:rFonts w:ascii="Times New Roman" w:hAnsi="Times New Roman"/>
              </w:rPr>
            </w:pPr>
          </w:p>
        </w:tc>
        <w:tc>
          <w:tcPr>
            <w:tcW w:w="372" w:type="pct"/>
            <w:vAlign w:val="center"/>
          </w:tcPr>
          <w:p>
            <w:pPr>
              <w:spacing w:line="276" w:lineRule="auto"/>
              <w:jc w:val="center"/>
              <w:rPr>
                <w:rFonts w:ascii="Times New Roman" w:hAnsi="Times New Roman"/>
              </w:rPr>
            </w:pPr>
          </w:p>
        </w:tc>
        <w:tc>
          <w:tcPr>
            <w:tcW w:w="413" w:type="pct"/>
            <w:vMerge w:val="restart"/>
            <w:vAlign w:val="center"/>
          </w:tcPr>
          <w:p>
            <w:pPr>
              <w:spacing w:line="276" w:lineRule="auto"/>
              <w:jc w:val="center"/>
              <w:rPr>
                <w:rFonts w:ascii="Times New Roman" w:hAnsi="Times New Roman"/>
              </w:rPr>
            </w:pPr>
            <w:r>
              <w:rPr>
                <w:rFonts w:hint="eastAsia" w:ascii="Times New Roman" w:hAnsi="Times New Roman"/>
                <w:lang w:val="en-US" w:eastAsia="zh-CN"/>
              </w:rPr>
              <w:t>8</w:t>
            </w:r>
            <w:r>
              <w:rPr>
                <w:rFonts w:hint="eastAsia" w:ascii="Times New Roman" w:hAnsi="Times New Roman"/>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1127" w:type="pct"/>
            <w:gridSpan w:val="2"/>
            <w:vMerge w:val="continue"/>
            <w:textDirection w:val="tbRlV"/>
            <w:vAlign w:val="center"/>
          </w:tcPr>
          <w:p>
            <w:pPr>
              <w:spacing w:line="276" w:lineRule="auto"/>
              <w:jc w:val="center"/>
              <w:rPr>
                <w:rFonts w:ascii="Times New Roman" w:hAnsi="Times New Roman"/>
              </w:rPr>
            </w:pPr>
          </w:p>
        </w:tc>
        <w:tc>
          <w:tcPr>
            <w:tcW w:w="292" w:type="pct"/>
            <w:noWrap/>
            <w:vAlign w:val="center"/>
          </w:tcPr>
          <w:p>
            <w:pPr>
              <w:spacing w:line="276" w:lineRule="auto"/>
              <w:jc w:val="center"/>
              <w:rPr>
                <w:rFonts w:hint="default" w:ascii="Times New Roman" w:hAnsi="Times New Roman" w:eastAsiaTheme="minorEastAsia"/>
                <w:lang w:val="en-US" w:eastAsia="zh-CN"/>
              </w:rPr>
            </w:pPr>
            <w:r>
              <w:rPr>
                <w:rFonts w:hint="eastAsia" w:ascii="Times New Roman" w:hAnsi="Times New Roman"/>
                <w:lang w:val="en-US" w:eastAsia="zh-CN"/>
              </w:rPr>
              <w:t>10</w:t>
            </w:r>
          </w:p>
        </w:tc>
        <w:tc>
          <w:tcPr>
            <w:tcW w:w="1724" w:type="pct"/>
            <w:noWrap/>
            <w:vAlign w:val="center"/>
          </w:tcPr>
          <w:p>
            <w:pPr>
              <w:spacing w:line="276" w:lineRule="auto"/>
              <w:jc w:val="center"/>
              <w:rPr>
                <w:rFonts w:hint="eastAsia" w:ascii="Times New Roman" w:hAnsi="Times New Roman"/>
              </w:rPr>
            </w:pPr>
            <w:r>
              <w:rPr>
                <w:rFonts w:hint="eastAsia" w:ascii="Times New Roman" w:hAnsi="Times New Roman"/>
                <w:lang w:val="en-US" w:eastAsia="zh-CN"/>
              </w:rPr>
              <w:t>学科教学设计与实施研究</w:t>
            </w: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r>
              <w:rPr>
                <w:rFonts w:hint="eastAsia" w:ascii="Times New Roman" w:hAnsi="Times New Roman"/>
              </w:rPr>
              <w:t>2</w:t>
            </w:r>
          </w:p>
        </w:tc>
        <w:tc>
          <w:tcPr>
            <w:tcW w:w="364" w:type="pct"/>
            <w:noWrap/>
            <w:vAlign w:val="center"/>
          </w:tcPr>
          <w:p>
            <w:pPr>
              <w:spacing w:line="276" w:lineRule="auto"/>
              <w:jc w:val="center"/>
              <w:rPr>
                <w:rFonts w:ascii="Times New Roman" w:hAnsi="Times New Roman"/>
              </w:rPr>
            </w:pPr>
          </w:p>
        </w:tc>
        <w:tc>
          <w:tcPr>
            <w:tcW w:w="372" w:type="pct"/>
            <w:vAlign w:val="center"/>
          </w:tcPr>
          <w:p>
            <w:pPr>
              <w:spacing w:line="276" w:lineRule="auto"/>
              <w:jc w:val="center"/>
              <w:rPr>
                <w:rFonts w:ascii="Times New Roman" w:hAnsi="Times New Roman"/>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1127" w:type="pct"/>
            <w:gridSpan w:val="2"/>
            <w:vMerge w:val="continue"/>
            <w:textDirection w:val="tbRlV"/>
            <w:vAlign w:val="center"/>
          </w:tcPr>
          <w:p>
            <w:pPr>
              <w:spacing w:line="276" w:lineRule="auto"/>
              <w:jc w:val="center"/>
              <w:rPr>
                <w:rFonts w:ascii="Times New Roman" w:hAnsi="Times New Roman"/>
              </w:rPr>
            </w:pPr>
          </w:p>
        </w:tc>
        <w:tc>
          <w:tcPr>
            <w:tcW w:w="292" w:type="pct"/>
            <w:noWrap/>
            <w:vAlign w:val="center"/>
          </w:tcPr>
          <w:p>
            <w:pPr>
              <w:spacing w:line="276" w:lineRule="auto"/>
              <w:jc w:val="center"/>
              <w:rPr>
                <w:rFonts w:hint="default" w:ascii="Times New Roman" w:hAnsi="Times New Roman" w:eastAsiaTheme="minorEastAsia"/>
                <w:lang w:val="en-US" w:eastAsia="zh-CN"/>
              </w:rPr>
            </w:pPr>
            <w:r>
              <w:rPr>
                <w:rFonts w:hint="eastAsia" w:ascii="Times New Roman" w:hAnsi="Times New Roman"/>
                <w:lang w:val="en-US" w:eastAsia="zh-CN"/>
              </w:rPr>
              <w:t>11</w:t>
            </w:r>
          </w:p>
        </w:tc>
        <w:tc>
          <w:tcPr>
            <w:tcW w:w="1724" w:type="pct"/>
            <w:noWrap/>
            <w:vAlign w:val="center"/>
          </w:tcPr>
          <w:p>
            <w:pPr>
              <w:spacing w:line="276" w:lineRule="auto"/>
              <w:jc w:val="center"/>
              <w:rPr>
                <w:rFonts w:hint="eastAsia" w:ascii="Times New Roman" w:hAnsi="Times New Roman"/>
              </w:rPr>
            </w:pPr>
            <w:r>
              <w:rPr>
                <w:rFonts w:hint="eastAsia" w:ascii="Times New Roman" w:hAnsi="Times New Roman"/>
                <w:lang w:val="en-US" w:eastAsia="zh-CN"/>
              </w:rPr>
              <w:t>学科专业课程</w:t>
            </w: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4</w:t>
            </w:r>
          </w:p>
        </w:tc>
        <w:tc>
          <w:tcPr>
            <w:tcW w:w="364" w:type="pct"/>
            <w:noWrap/>
            <w:vAlign w:val="center"/>
          </w:tcPr>
          <w:p>
            <w:pPr>
              <w:spacing w:line="276" w:lineRule="auto"/>
              <w:jc w:val="center"/>
              <w:rPr>
                <w:rFonts w:ascii="Times New Roman" w:hAnsi="Times New Roman"/>
              </w:rPr>
            </w:pPr>
          </w:p>
        </w:tc>
        <w:tc>
          <w:tcPr>
            <w:tcW w:w="372" w:type="pct"/>
            <w:vAlign w:val="center"/>
          </w:tcPr>
          <w:p>
            <w:pPr>
              <w:spacing w:line="276" w:lineRule="auto"/>
              <w:jc w:val="center"/>
              <w:rPr>
                <w:rFonts w:ascii="Times New Roman" w:hAnsi="Times New Roman"/>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257" w:type="pct"/>
            <w:vMerge w:val="restart"/>
            <w:textDirection w:val="tbRlV"/>
            <w:vAlign w:val="center"/>
          </w:tcPr>
          <w:p>
            <w:pPr>
              <w:spacing w:line="276" w:lineRule="auto"/>
              <w:ind w:left="113" w:right="113"/>
              <w:jc w:val="center"/>
              <w:rPr>
                <w:rFonts w:ascii="Times New Roman" w:hAnsi="Times New Roman"/>
              </w:rPr>
            </w:pPr>
            <w:r>
              <w:rPr>
                <w:rFonts w:hint="eastAsia" w:ascii="Times New Roman" w:hAnsi="Times New Roman"/>
              </w:rPr>
              <w:t>专业选修课</w:t>
            </w:r>
          </w:p>
        </w:tc>
        <w:tc>
          <w:tcPr>
            <w:tcW w:w="869" w:type="pct"/>
            <w:vMerge w:val="restart"/>
            <w:noWrap/>
            <w:vAlign w:val="center"/>
          </w:tcPr>
          <w:p>
            <w:pPr>
              <w:spacing w:line="276" w:lineRule="auto"/>
              <w:jc w:val="center"/>
              <w:rPr>
                <w:rFonts w:hint="eastAsia" w:ascii="宋体" w:hAnsi="宋体" w:eastAsia="宋体" w:cs="宋体"/>
                <w:sz w:val="21"/>
                <w:szCs w:val="21"/>
              </w:rPr>
            </w:pPr>
            <w:r>
              <w:rPr>
                <w:rFonts w:hint="eastAsia" w:ascii="宋体" w:hAnsi="宋体" w:eastAsia="宋体" w:cs="宋体"/>
                <w:sz w:val="21"/>
                <w:szCs w:val="21"/>
                <w:lang w:bidi="ar"/>
              </w:rPr>
              <w:t>学科素养类</w:t>
            </w: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rPr>
            </w:pP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p>
        </w:tc>
        <w:tc>
          <w:tcPr>
            <w:tcW w:w="364" w:type="pct"/>
            <w:noWrap/>
            <w:vAlign w:val="center"/>
          </w:tcPr>
          <w:p>
            <w:pPr>
              <w:spacing w:line="276" w:lineRule="auto"/>
              <w:jc w:val="center"/>
              <w:rPr>
                <w:rFonts w:ascii="Times New Roman" w:hAnsi="Times New Roman"/>
              </w:rPr>
            </w:pPr>
          </w:p>
        </w:tc>
        <w:tc>
          <w:tcPr>
            <w:tcW w:w="372" w:type="pct"/>
            <w:vAlign w:val="center"/>
          </w:tcPr>
          <w:p>
            <w:pPr>
              <w:spacing w:line="276" w:lineRule="auto"/>
              <w:jc w:val="center"/>
              <w:rPr>
                <w:rFonts w:ascii="Times New Roman" w:hAnsi="Times New Roman"/>
              </w:rPr>
            </w:pPr>
          </w:p>
        </w:tc>
        <w:tc>
          <w:tcPr>
            <w:tcW w:w="413" w:type="pct"/>
            <w:vMerge w:val="restart"/>
            <w:vAlign w:val="center"/>
          </w:tcPr>
          <w:p>
            <w:pPr>
              <w:spacing w:line="276" w:lineRule="auto"/>
              <w:jc w:val="center"/>
              <w:rPr>
                <w:rFonts w:ascii="Times New Roman" w:hAnsi="Times New Roman"/>
              </w:rPr>
            </w:pPr>
            <w:r>
              <w:rPr>
                <w:rFonts w:hint="eastAsia" w:ascii="Times New Roman" w:hAnsi="Times New Roman"/>
              </w:rPr>
              <w:t>每个方向必选1门课程，选修不少于</w:t>
            </w:r>
            <w:r>
              <w:rPr>
                <w:rFonts w:hint="eastAsia" w:ascii="Times New Roman" w:hAnsi="Times New Roman"/>
                <w:lang w:val="en-US" w:eastAsia="zh-CN"/>
              </w:rPr>
              <w:t>8</w:t>
            </w:r>
            <w:r>
              <w:rPr>
                <w:rFonts w:hint="eastAsia" w:ascii="Times New Roman" w:hAnsi="Times New Roman"/>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257" w:type="pct"/>
            <w:vMerge w:val="continue"/>
            <w:textDirection w:val="tbRlV"/>
            <w:vAlign w:val="center"/>
          </w:tcPr>
          <w:p>
            <w:pPr>
              <w:spacing w:line="276" w:lineRule="auto"/>
              <w:ind w:left="113" w:right="113"/>
              <w:jc w:val="center"/>
              <w:rPr>
                <w:rFonts w:ascii="Times New Roman" w:hAnsi="Times New Roman"/>
              </w:rPr>
            </w:pPr>
          </w:p>
        </w:tc>
        <w:tc>
          <w:tcPr>
            <w:tcW w:w="869" w:type="pct"/>
            <w:vMerge w:val="continue"/>
            <w:noWrap/>
            <w:vAlign w:val="center"/>
          </w:tcPr>
          <w:p>
            <w:pPr>
              <w:spacing w:line="276" w:lineRule="auto"/>
              <w:jc w:val="center"/>
              <w:rPr>
                <w:rFonts w:hint="eastAsia" w:ascii="宋体" w:hAnsi="宋体" w:eastAsia="宋体" w:cs="宋体"/>
                <w:sz w:val="21"/>
                <w:szCs w:val="21"/>
              </w:rPr>
            </w:pP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rPr>
            </w:pP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p>
        </w:tc>
        <w:tc>
          <w:tcPr>
            <w:tcW w:w="364" w:type="pct"/>
            <w:noWrap/>
            <w:vAlign w:val="center"/>
          </w:tcPr>
          <w:p>
            <w:pPr>
              <w:spacing w:line="276" w:lineRule="auto"/>
              <w:jc w:val="center"/>
              <w:rPr>
                <w:rFonts w:ascii="Times New Roman" w:hAnsi="Times New Roman"/>
              </w:rPr>
            </w:pPr>
          </w:p>
        </w:tc>
        <w:tc>
          <w:tcPr>
            <w:tcW w:w="372" w:type="pct"/>
            <w:vAlign w:val="center"/>
          </w:tcPr>
          <w:p>
            <w:pPr>
              <w:spacing w:line="276" w:lineRule="auto"/>
              <w:jc w:val="center"/>
              <w:rPr>
                <w:rFonts w:ascii="Times New Roman" w:hAnsi="Times New Roman"/>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257" w:type="pct"/>
            <w:vMerge w:val="continue"/>
            <w:textDirection w:val="tbRlV"/>
            <w:vAlign w:val="center"/>
          </w:tcPr>
          <w:p>
            <w:pPr>
              <w:spacing w:line="276" w:lineRule="auto"/>
              <w:ind w:left="113" w:right="113"/>
              <w:jc w:val="center"/>
              <w:rPr>
                <w:rFonts w:ascii="Times New Roman" w:hAnsi="Times New Roman"/>
              </w:rPr>
            </w:pPr>
          </w:p>
        </w:tc>
        <w:tc>
          <w:tcPr>
            <w:tcW w:w="869" w:type="pct"/>
            <w:vMerge w:val="continue"/>
            <w:noWrap/>
            <w:vAlign w:val="center"/>
          </w:tcPr>
          <w:p>
            <w:pPr>
              <w:spacing w:line="276" w:lineRule="auto"/>
              <w:jc w:val="center"/>
              <w:rPr>
                <w:rFonts w:hint="eastAsia" w:ascii="宋体" w:hAnsi="宋体" w:eastAsia="宋体" w:cs="宋体"/>
                <w:sz w:val="21"/>
                <w:szCs w:val="21"/>
              </w:rPr>
            </w:pP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rPr>
            </w:pP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p>
        </w:tc>
        <w:tc>
          <w:tcPr>
            <w:tcW w:w="364" w:type="pct"/>
            <w:noWrap/>
            <w:vAlign w:val="center"/>
          </w:tcPr>
          <w:p>
            <w:pPr>
              <w:spacing w:line="276" w:lineRule="auto"/>
              <w:jc w:val="center"/>
              <w:rPr>
                <w:rFonts w:ascii="Times New Roman" w:hAnsi="Times New Roman"/>
              </w:rPr>
            </w:pPr>
          </w:p>
        </w:tc>
        <w:tc>
          <w:tcPr>
            <w:tcW w:w="372" w:type="pct"/>
            <w:vAlign w:val="center"/>
          </w:tcPr>
          <w:p>
            <w:pPr>
              <w:spacing w:line="276" w:lineRule="auto"/>
              <w:jc w:val="center"/>
              <w:rPr>
                <w:rFonts w:ascii="Times New Roman" w:hAnsi="Times New Roman"/>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257" w:type="pct"/>
            <w:vMerge w:val="continue"/>
            <w:textDirection w:val="tbRlV"/>
            <w:vAlign w:val="center"/>
          </w:tcPr>
          <w:p>
            <w:pPr>
              <w:spacing w:line="276" w:lineRule="auto"/>
              <w:ind w:left="113" w:right="113"/>
              <w:jc w:val="center"/>
              <w:rPr>
                <w:rFonts w:ascii="Times New Roman" w:hAnsi="Times New Roman"/>
              </w:rPr>
            </w:pPr>
          </w:p>
        </w:tc>
        <w:tc>
          <w:tcPr>
            <w:tcW w:w="869" w:type="pct"/>
            <w:vMerge w:val="restart"/>
            <w:noWrap/>
            <w:vAlign w:val="center"/>
          </w:tcPr>
          <w:p>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教育专业类</w:t>
            </w: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rPr>
            </w:pP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p>
        </w:tc>
        <w:tc>
          <w:tcPr>
            <w:tcW w:w="364" w:type="pct"/>
            <w:noWrap/>
            <w:vAlign w:val="center"/>
          </w:tcPr>
          <w:p>
            <w:pPr>
              <w:spacing w:line="276" w:lineRule="auto"/>
              <w:jc w:val="center"/>
              <w:rPr>
                <w:rFonts w:ascii="Times New Roman" w:hAnsi="Times New Roman"/>
              </w:rPr>
            </w:pPr>
          </w:p>
        </w:tc>
        <w:tc>
          <w:tcPr>
            <w:tcW w:w="372" w:type="pct"/>
            <w:vAlign w:val="center"/>
          </w:tcPr>
          <w:p>
            <w:pPr>
              <w:spacing w:line="276" w:lineRule="auto"/>
              <w:jc w:val="center"/>
              <w:rPr>
                <w:rFonts w:ascii="Times New Roman" w:hAnsi="Times New Roman"/>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257" w:type="pct"/>
            <w:vMerge w:val="continue"/>
            <w:textDirection w:val="tbRlV"/>
            <w:vAlign w:val="center"/>
          </w:tcPr>
          <w:p>
            <w:pPr>
              <w:spacing w:line="276" w:lineRule="auto"/>
              <w:ind w:left="113" w:right="113"/>
              <w:jc w:val="center"/>
              <w:rPr>
                <w:rFonts w:ascii="Times New Roman" w:hAnsi="Times New Roman"/>
              </w:rPr>
            </w:pPr>
          </w:p>
        </w:tc>
        <w:tc>
          <w:tcPr>
            <w:tcW w:w="869" w:type="pct"/>
            <w:vMerge w:val="continue"/>
            <w:noWrap/>
            <w:vAlign w:val="center"/>
          </w:tcPr>
          <w:p>
            <w:pPr>
              <w:spacing w:line="276" w:lineRule="auto"/>
              <w:jc w:val="center"/>
              <w:rPr>
                <w:rFonts w:hint="eastAsia" w:ascii="宋体" w:hAnsi="宋体" w:eastAsia="宋体" w:cs="宋体"/>
                <w:sz w:val="21"/>
                <w:szCs w:val="21"/>
              </w:rPr>
            </w:pP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rPr>
            </w:pP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p>
        </w:tc>
        <w:tc>
          <w:tcPr>
            <w:tcW w:w="364" w:type="pct"/>
            <w:noWrap/>
            <w:vAlign w:val="center"/>
          </w:tcPr>
          <w:p>
            <w:pPr>
              <w:spacing w:line="276" w:lineRule="auto"/>
              <w:jc w:val="center"/>
              <w:rPr>
                <w:rFonts w:ascii="Times New Roman" w:hAnsi="Times New Roman"/>
              </w:rPr>
            </w:pPr>
          </w:p>
        </w:tc>
        <w:tc>
          <w:tcPr>
            <w:tcW w:w="372" w:type="pct"/>
            <w:vAlign w:val="center"/>
          </w:tcPr>
          <w:p>
            <w:pPr>
              <w:spacing w:line="276" w:lineRule="auto"/>
              <w:jc w:val="center"/>
              <w:rPr>
                <w:rFonts w:ascii="Times New Roman" w:hAnsi="Times New Roman"/>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257" w:type="pct"/>
            <w:vMerge w:val="continue"/>
            <w:textDirection w:val="tbRlV"/>
            <w:vAlign w:val="center"/>
          </w:tcPr>
          <w:p>
            <w:pPr>
              <w:spacing w:line="276" w:lineRule="auto"/>
              <w:ind w:left="113" w:right="113"/>
              <w:jc w:val="center"/>
              <w:rPr>
                <w:rFonts w:ascii="Times New Roman" w:hAnsi="Times New Roman"/>
              </w:rPr>
            </w:pPr>
          </w:p>
        </w:tc>
        <w:tc>
          <w:tcPr>
            <w:tcW w:w="869" w:type="pct"/>
            <w:vMerge w:val="continue"/>
            <w:noWrap/>
            <w:vAlign w:val="center"/>
          </w:tcPr>
          <w:p>
            <w:pPr>
              <w:spacing w:line="276" w:lineRule="auto"/>
              <w:jc w:val="center"/>
              <w:rPr>
                <w:rFonts w:hint="eastAsia" w:ascii="宋体" w:hAnsi="宋体" w:eastAsia="宋体" w:cs="宋体"/>
                <w:sz w:val="21"/>
                <w:szCs w:val="21"/>
              </w:rPr>
            </w:pP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rPr>
            </w:pP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p>
        </w:tc>
        <w:tc>
          <w:tcPr>
            <w:tcW w:w="364" w:type="pct"/>
            <w:noWrap/>
            <w:vAlign w:val="center"/>
          </w:tcPr>
          <w:p>
            <w:pPr>
              <w:spacing w:line="276" w:lineRule="auto"/>
              <w:jc w:val="center"/>
              <w:rPr>
                <w:rFonts w:ascii="Times New Roman" w:hAnsi="Times New Roman"/>
                <w:color w:val="FF0000"/>
              </w:rPr>
            </w:pPr>
          </w:p>
        </w:tc>
        <w:tc>
          <w:tcPr>
            <w:tcW w:w="372" w:type="pct"/>
            <w:vAlign w:val="center"/>
          </w:tcPr>
          <w:p>
            <w:pPr>
              <w:spacing w:line="276" w:lineRule="auto"/>
              <w:jc w:val="center"/>
              <w:rPr>
                <w:rFonts w:ascii="Times New Roman" w:hAnsi="Times New Roman"/>
                <w:color w:val="FF0000"/>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257" w:type="pct"/>
            <w:vMerge w:val="continue"/>
            <w:textDirection w:val="tbRlV"/>
            <w:vAlign w:val="center"/>
          </w:tcPr>
          <w:p>
            <w:pPr>
              <w:spacing w:line="276" w:lineRule="auto"/>
              <w:ind w:left="113" w:right="113"/>
              <w:jc w:val="center"/>
              <w:rPr>
                <w:rFonts w:ascii="Times New Roman" w:hAnsi="Times New Roman"/>
              </w:rPr>
            </w:pPr>
          </w:p>
        </w:tc>
        <w:tc>
          <w:tcPr>
            <w:tcW w:w="869" w:type="pct"/>
            <w:vMerge w:val="restart"/>
            <w:noWrap/>
            <w:vAlign w:val="center"/>
          </w:tcPr>
          <w:p>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专业特色类</w:t>
            </w: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color w:val="FF0000"/>
              </w:rPr>
            </w:pP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p>
        </w:tc>
        <w:tc>
          <w:tcPr>
            <w:tcW w:w="364" w:type="pct"/>
            <w:noWrap/>
            <w:vAlign w:val="center"/>
          </w:tcPr>
          <w:p>
            <w:pPr>
              <w:spacing w:line="276" w:lineRule="auto"/>
              <w:jc w:val="center"/>
              <w:rPr>
                <w:rFonts w:ascii="Times New Roman" w:hAnsi="Times New Roman"/>
                <w:color w:val="FF0000"/>
              </w:rPr>
            </w:pPr>
          </w:p>
        </w:tc>
        <w:tc>
          <w:tcPr>
            <w:tcW w:w="372" w:type="pct"/>
            <w:vAlign w:val="center"/>
          </w:tcPr>
          <w:p>
            <w:pPr>
              <w:spacing w:line="276" w:lineRule="auto"/>
              <w:jc w:val="center"/>
              <w:rPr>
                <w:rFonts w:ascii="Times New Roman" w:hAnsi="Times New Roman"/>
                <w:color w:val="FF0000"/>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257" w:type="pct"/>
            <w:vMerge w:val="continue"/>
            <w:textDirection w:val="tbRlV"/>
            <w:vAlign w:val="center"/>
          </w:tcPr>
          <w:p>
            <w:pPr>
              <w:spacing w:line="276" w:lineRule="auto"/>
              <w:ind w:left="113" w:right="113"/>
              <w:jc w:val="center"/>
              <w:rPr>
                <w:rFonts w:ascii="Times New Roman" w:hAnsi="Times New Roman"/>
              </w:rPr>
            </w:pPr>
          </w:p>
        </w:tc>
        <w:tc>
          <w:tcPr>
            <w:tcW w:w="869" w:type="pct"/>
            <w:vMerge w:val="continue"/>
            <w:noWrap/>
            <w:vAlign w:val="center"/>
          </w:tcPr>
          <w:p>
            <w:pPr>
              <w:spacing w:line="276" w:lineRule="auto"/>
              <w:jc w:val="center"/>
              <w:rPr>
                <w:rFonts w:ascii="Times New Roman" w:hAnsi="Times New Roman"/>
              </w:rPr>
            </w:pP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color w:val="FF0000"/>
              </w:rPr>
            </w:pP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p>
        </w:tc>
        <w:tc>
          <w:tcPr>
            <w:tcW w:w="364" w:type="pct"/>
            <w:noWrap/>
            <w:vAlign w:val="center"/>
          </w:tcPr>
          <w:p>
            <w:pPr>
              <w:spacing w:line="276" w:lineRule="auto"/>
              <w:jc w:val="center"/>
              <w:rPr>
                <w:rFonts w:ascii="Times New Roman" w:hAnsi="Times New Roman"/>
                <w:color w:val="FF0000"/>
              </w:rPr>
            </w:pPr>
          </w:p>
        </w:tc>
        <w:tc>
          <w:tcPr>
            <w:tcW w:w="372" w:type="pct"/>
            <w:vAlign w:val="center"/>
          </w:tcPr>
          <w:p>
            <w:pPr>
              <w:spacing w:line="276" w:lineRule="auto"/>
              <w:jc w:val="center"/>
              <w:rPr>
                <w:rFonts w:ascii="Times New Roman" w:hAnsi="Times New Roman"/>
                <w:color w:val="FF0000"/>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257" w:type="pct"/>
            <w:vMerge w:val="continue"/>
            <w:textDirection w:val="tbRlV"/>
            <w:vAlign w:val="center"/>
          </w:tcPr>
          <w:p>
            <w:pPr>
              <w:spacing w:line="276" w:lineRule="auto"/>
              <w:ind w:left="113" w:right="113"/>
              <w:jc w:val="center"/>
              <w:rPr>
                <w:rFonts w:ascii="Times New Roman" w:hAnsi="Times New Roman"/>
              </w:rPr>
            </w:pPr>
          </w:p>
        </w:tc>
        <w:tc>
          <w:tcPr>
            <w:tcW w:w="869" w:type="pct"/>
            <w:vMerge w:val="continue"/>
            <w:noWrap/>
            <w:vAlign w:val="center"/>
          </w:tcPr>
          <w:p>
            <w:pPr>
              <w:spacing w:line="276" w:lineRule="auto"/>
              <w:jc w:val="center"/>
              <w:rPr>
                <w:rFonts w:ascii="Times New Roman" w:hAnsi="Times New Roman"/>
              </w:rPr>
            </w:pP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color w:val="FF0000"/>
              </w:rPr>
            </w:pP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p>
        </w:tc>
        <w:tc>
          <w:tcPr>
            <w:tcW w:w="364" w:type="pct"/>
            <w:noWrap/>
            <w:vAlign w:val="center"/>
          </w:tcPr>
          <w:p>
            <w:pPr>
              <w:spacing w:line="276" w:lineRule="auto"/>
              <w:jc w:val="center"/>
              <w:rPr>
                <w:rFonts w:ascii="Times New Roman" w:hAnsi="Times New Roman"/>
                <w:color w:val="FF0000"/>
              </w:rPr>
            </w:pPr>
          </w:p>
        </w:tc>
        <w:tc>
          <w:tcPr>
            <w:tcW w:w="372" w:type="pct"/>
            <w:vAlign w:val="center"/>
          </w:tcPr>
          <w:p>
            <w:pPr>
              <w:spacing w:line="276" w:lineRule="auto"/>
              <w:jc w:val="center"/>
              <w:rPr>
                <w:rFonts w:ascii="Times New Roman" w:hAnsi="Times New Roman"/>
                <w:color w:val="FF0000"/>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1127" w:type="pct"/>
            <w:gridSpan w:val="2"/>
            <w:vMerge w:val="restart"/>
            <w:noWrap/>
            <w:textDirection w:val="tbRlV"/>
            <w:vAlign w:val="center"/>
          </w:tcPr>
          <w:p>
            <w:pPr>
              <w:spacing w:line="276" w:lineRule="auto"/>
              <w:jc w:val="center"/>
              <w:rPr>
                <w:rFonts w:ascii="Times New Roman" w:hAnsi="Times New Roman"/>
              </w:rPr>
            </w:pPr>
            <w:r>
              <w:rPr>
                <w:rFonts w:hint="eastAsia" w:ascii="Times New Roman" w:hAnsi="Times New Roman"/>
              </w:rPr>
              <w:t>实践教学</w:t>
            </w: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rPr>
            </w:pPr>
            <w:r>
              <w:rPr>
                <w:rFonts w:hint="eastAsia" w:ascii="Times New Roman" w:hAnsi="Times New Roman"/>
              </w:rPr>
              <w:t>校内实训</w:t>
            </w: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r>
              <w:rPr>
                <w:rFonts w:hint="eastAsia" w:ascii="Times New Roman" w:hAnsi="Times New Roman"/>
              </w:rPr>
              <w:t>2</w:t>
            </w:r>
          </w:p>
        </w:tc>
        <w:tc>
          <w:tcPr>
            <w:tcW w:w="364" w:type="pct"/>
            <w:noWrap/>
            <w:vAlign w:val="center"/>
          </w:tcPr>
          <w:p>
            <w:pPr>
              <w:spacing w:line="276" w:lineRule="auto"/>
              <w:jc w:val="center"/>
              <w:rPr>
                <w:rFonts w:ascii="Times New Roman" w:hAnsi="Times New Roman"/>
              </w:rPr>
            </w:pPr>
            <w:r>
              <w:rPr>
                <w:rFonts w:hint="eastAsia" w:ascii="Times New Roman" w:hAnsi="Times New Roman"/>
              </w:rPr>
              <w:t>1-2</w:t>
            </w:r>
          </w:p>
        </w:tc>
        <w:tc>
          <w:tcPr>
            <w:tcW w:w="372" w:type="pct"/>
            <w:vAlign w:val="center"/>
          </w:tcPr>
          <w:p>
            <w:pPr>
              <w:spacing w:line="276" w:lineRule="auto"/>
              <w:jc w:val="center"/>
              <w:rPr>
                <w:rFonts w:hint="eastAsia" w:ascii="Times New Roman" w:hAnsi="Times New Roman"/>
              </w:rPr>
            </w:pPr>
          </w:p>
        </w:tc>
        <w:tc>
          <w:tcPr>
            <w:tcW w:w="413" w:type="pct"/>
            <w:vMerge w:val="restart"/>
            <w:vAlign w:val="center"/>
          </w:tcPr>
          <w:p>
            <w:pPr>
              <w:spacing w:line="276" w:lineRule="auto"/>
              <w:jc w:val="center"/>
              <w:rPr>
                <w:rFonts w:ascii="Times New Roman" w:hAnsi="Times New Roman"/>
              </w:rPr>
            </w:pPr>
            <w:r>
              <w:rPr>
                <w:rFonts w:hint="eastAsia" w:ascii="Times New Roman" w:hAnsi="Times New Roman"/>
              </w:rPr>
              <w:t>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1127" w:type="pct"/>
            <w:gridSpan w:val="2"/>
            <w:vMerge w:val="continue"/>
            <w:textDirection w:val="tbRlV"/>
            <w:vAlign w:val="center"/>
          </w:tcPr>
          <w:p>
            <w:pPr>
              <w:spacing w:line="276" w:lineRule="auto"/>
              <w:jc w:val="center"/>
              <w:rPr>
                <w:rFonts w:ascii="Times New Roman" w:hAnsi="Times New Roman"/>
              </w:rPr>
            </w:pP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rPr>
            </w:pPr>
            <w:r>
              <w:rPr>
                <w:rFonts w:hint="eastAsia" w:ascii="Times New Roman" w:hAnsi="Times New Roman"/>
              </w:rPr>
              <w:t>教育见习</w:t>
            </w: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r>
              <w:rPr>
                <w:rFonts w:hint="eastAsia" w:ascii="Times New Roman" w:hAnsi="Times New Roman"/>
              </w:rPr>
              <w:t>1</w:t>
            </w:r>
          </w:p>
        </w:tc>
        <w:tc>
          <w:tcPr>
            <w:tcW w:w="364" w:type="pct"/>
            <w:noWrap/>
            <w:vAlign w:val="center"/>
          </w:tcPr>
          <w:p>
            <w:pPr>
              <w:spacing w:line="276" w:lineRule="auto"/>
              <w:jc w:val="center"/>
              <w:rPr>
                <w:rFonts w:ascii="Times New Roman" w:hAnsi="Times New Roman"/>
              </w:rPr>
            </w:pPr>
            <w:r>
              <w:rPr>
                <w:rFonts w:hint="eastAsia" w:ascii="Times New Roman" w:hAnsi="Times New Roman"/>
              </w:rPr>
              <w:t>1</w:t>
            </w:r>
          </w:p>
        </w:tc>
        <w:tc>
          <w:tcPr>
            <w:tcW w:w="372" w:type="pct"/>
            <w:vAlign w:val="center"/>
          </w:tcPr>
          <w:p>
            <w:pPr>
              <w:spacing w:line="276" w:lineRule="auto"/>
              <w:jc w:val="center"/>
              <w:rPr>
                <w:rFonts w:hint="eastAsia" w:ascii="Times New Roman" w:hAnsi="Times New Roman"/>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1127" w:type="pct"/>
            <w:gridSpan w:val="2"/>
            <w:vMerge w:val="continue"/>
            <w:textDirection w:val="tbRlV"/>
            <w:vAlign w:val="center"/>
          </w:tcPr>
          <w:p>
            <w:pPr>
              <w:spacing w:line="276" w:lineRule="auto"/>
              <w:jc w:val="center"/>
              <w:rPr>
                <w:rFonts w:ascii="Times New Roman" w:hAnsi="Times New Roman"/>
              </w:rPr>
            </w:pP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rPr>
            </w:pPr>
            <w:r>
              <w:rPr>
                <w:rFonts w:hint="eastAsia" w:ascii="Times New Roman" w:hAnsi="Times New Roman"/>
              </w:rPr>
              <w:t>教育实习</w:t>
            </w: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r>
              <w:rPr>
                <w:rFonts w:hint="eastAsia" w:ascii="Times New Roman" w:hAnsi="Times New Roman"/>
              </w:rPr>
              <w:t>4</w:t>
            </w:r>
          </w:p>
        </w:tc>
        <w:tc>
          <w:tcPr>
            <w:tcW w:w="364" w:type="pct"/>
            <w:noWrap/>
            <w:vAlign w:val="center"/>
          </w:tcPr>
          <w:p>
            <w:pPr>
              <w:spacing w:line="276" w:lineRule="auto"/>
              <w:jc w:val="center"/>
              <w:rPr>
                <w:rFonts w:ascii="Times New Roman" w:hAnsi="Times New Roman"/>
              </w:rPr>
            </w:pPr>
            <w:r>
              <w:rPr>
                <w:rFonts w:hint="eastAsia" w:ascii="Times New Roman" w:hAnsi="Times New Roman"/>
              </w:rPr>
              <w:t>3</w:t>
            </w:r>
          </w:p>
        </w:tc>
        <w:tc>
          <w:tcPr>
            <w:tcW w:w="372" w:type="pct"/>
            <w:vAlign w:val="center"/>
          </w:tcPr>
          <w:p>
            <w:pPr>
              <w:spacing w:line="276" w:lineRule="auto"/>
              <w:jc w:val="center"/>
              <w:rPr>
                <w:rFonts w:hint="eastAsia" w:ascii="Times New Roman" w:hAnsi="Times New Roman"/>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1127" w:type="pct"/>
            <w:gridSpan w:val="2"/>
            <w:vMerge w:val="continue"/>
            <w:textDirection w:val="tbRlV"/>
            <w:vAlign w:val="center"/>
          </w:tcPr>
          <w:p>
            <w:pPr>
              <w:spacing w:line="276" w:lineRule="auto"/>
              <w:jc w:val="center"/>
              <w:rPr>
                <w:rFonts w:ascii="Times New Roman" w:hAnsi="Times New Roman"/>
              </w:rPr>
            </w:pP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rPr>
            </w:pPr>
            <w:r>
              <w:rPr>
                <w:rFonts w:hint="eastAsia" w:ascii="Times New Roman" w:hAnsi="Times New Roman"/>
              </w:rPr>
              <w:t>教育研习</w:t>
            </w: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r>
              <w:rPr>
                <w:rFonts w:hint="eastAsia" w:ascii="Times New Roman" w:hAnsi="Times New Roman"/>
              </w:rPr>
              <w:t>1</w:t>
            </w:r>
          </w:p>
        </w:tc>
        <w:tc>
          <w:tcPr>
            <w:tcW w:w="364" w:type="pct"/>
            <w:noWrap/>
            <w:vAlign w:val="center"/>
          </w:tcPr>
          <w:p>
            <w:pPr>
              <w:spacing w:line="276" w:lineRule="auto"/>
              <w:jc w:val="center"/>
              <w:rPr>
                <w:rFonts w:ascii="Times New Roman" w:hAnsi="Times New Roman"/>
              </w:rPr>
            </w:pPr>
            <w:r>
              <w:rPr>
                <w:rFonts w:hint="eastAsia" w:ascii="Times New Roman" w:hAnsi="Times New Roman"/>
              </w:rPr>
              <w:t>1</w:t>
            </w:r>
          </w:p>
        </w:tc>
        <w:tc>
          <w:tcPr>
            <w:tcW w:w="372" w:type="pct"/>
            <w:vAlign w:val="center"/>
          </w:tcPr>
          <w:p>
            <w:pPr>
              <w:spacing w:line="276" w:lineRule="auto"/>
              <w:jc w:val="center"/>
              <w:rPr>
                <w:rFonts w:hint="eastAsia" w:ascii="Times New Roman" w:hAnsi="Times New Roman"/>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3144" w:type="pct"/>
            <w:gridSpan w:val="4"/>
            <w:vAlign w:val="center"/>
          </w:tcPr>
          <w:p>
            <w:pPr>
              <w:spacing w:line="276" w:lineRule="auto"/>
              <w:jc w:val="center"/>
              <w:rPr>
                <w:rFonts w:ascii="Times New Roman" w:hAnsi="Times New Roman"/>
              </w:rPr>
            </w:pPr>
            <w:r>
              <w:rPr>
                <w:rFonts w:hint="eastAsia" w:ascii="Times New Roman" w:hAnsi="Times New Roman"/>
              </w:rPr>
              <w:t>总学分</w:t>
            </w:r>
          </w:p>
        </w:tc>
        <w:tc>
          <w:tcPr>
            <w:tcW w:w="1441" w:type="pct"/>
            <w:gridSpan w:val="4"/>
            <w:noWrap/>
            <w:vAlign w:val="center"/>
          </w:tcPr>
          <w:p>
            <w:pPr>
              <w:keepNext w:val="0"/>
              <w:keepLines w:val="0"/>
              <w:widowControl/>
              <w:suppressLineNumbers w:val="0"/>
              <w:jc w:val="center"/>
              <w:rPr>
                <w:rFonts w:hint="eastAsia" w:ascii="Times New Roman" w:hAnsi="Times New Roman"/>
                <w:lang w:val="en-US" w:eastAsia="zh-CN"/>
              </w:rPr>
            </w:pPr>
            <w:r>
              <w:rPr>
                <w:rFonts w:hint="eastAsia" w:ascii="Times New Roman" w:hAnsi="Times New Roman"/>
                <w:lang w:val="en-US" w:eastAsia="zh-CN"/>
              </w:rPr>
              <w:t>不少于38学分，</w:t>
            </w:r>
          </w:p>
          <w:p>
            <w:pPr>
              <w:keepNext w:val="0"/>
              <w:keepLines w:val="0"/>
              <w:widowControl/>
              <w:suppressLineNumbers w:val="0"/>
              <w:jc w:val="center"/>
              <w:rPr>
                <w:rFonts w:hint="default" w:ascii="Times New Roman" w:hAnsi="Times New Roman" w:eastAsiaTheme="minorEastAsia"/>
                <w:lang w:val="en-US" w:eastAsia="zh-CN"/>
              </w:rPr>
            </w:pPr>
            <w:r>
              <w:rPr>
                <w:rFonts w:hint="eastAsia" w:ascii="Times New Roman" w:hAnsi="Times New Roman"/>
                <w:lang w:val="en-US" w:eastAsia="zh-CN"/>
              </w:rPr>
              <w:t>最多不超过 45 学分</w:t>
            </w:r>
          </w:p>
        </w:tc>
        <w:tc>
          <w:tcPr>
            <w:tcW w:w="413" w:type="pct"/>
            <w:noWrap/>
            <w:vAlign w:val="center"/>
          </w:tcPr>
          <w:p>
            <w:pPr>
              <w:keepNext w:val="0"/>
              <w:keepLines w:val="0"/>
              <w:widowControl/>
              <w:suppressLineNumbers w:val="0"/>
              <w:jc w:val="center"/>
              <w:rPr>
                <w:rFonts w:hint="eastAsia" w:ascii="Times New Roman" w:hAnsi="Times New Roman"/>
                <w:lang w:val="en-US" w:eastAsia="zh-CN"/>
              </w:rPr>
            </w:pPr>
          </w:p>
        </w:tc>
      </w:tr>
    </w:tbl>
    <w:p>
      <w:pPr>
        <w:spacing w:line="276" w:lineRule="auto"/>
        <w:rPr>
          <w:rFonts w:ascii="Times New Roman" w:hAnsi="Times New Roma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D88B91"/>
    <w:multiLevelType w:val="singleLevel"/>
    <w:tmpl w:val="D4D88B91"/>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2ZjUwNzYwN2VhNjI5MDRjYWQ3NWYwMDFkYmM4ZDUifQ=="/>
  </w:docVars>
  <w:rsids>
    <w:rsidRoot w:val="00164075"/>
    <w:rsid w:val="000B10B7"/>
    <w:rsid w:val="00121116"/>
    <w:rsid w:val="00137D1E"/>
    <w:rsid w:val="00164075"/>
    <w:rsid w:val="001B1D44"/>
    <w:rsid w:val="002A0A39"/>
    <w:rsid w:val="002B1D39"/>
    <w:rsid w:val="00347739"/>
    <w:rsid w:val="003D1353"/>
    <w:rsid w:val="003D4135"/>
    <w:rsid w:val="004106A3"/>
    <w:rsid w:val="005866A3"/>
    <w:rsid w:val="00645928"/>
    <w:rsid w:val="00680DAF"/>
    <w:rsid w:val="007002C0"/>
    <w:rsid w:val="007174FD"/>
    <w:rsid w:val="00787BC6"/>
    <w:rsid w:val="0091576E"/>
    <w:rsid w:val="009946A3"/>
    <w:rsid w:val="009E61FB"/>
    <w:rsid w:val="00A3076F"/>
    <w:rsid w:val="00A43E47"/>
    <w:rsid w:val="00A74574"/>
    <w:rsid w:val="00A819A5"/>
    <w:rsid w:val="00B25220"/>
    <w:rsid w:val="00B66EEC"/>
    <w:rsid w:val="00B76435"/>
    <w:rsid w:val="00C029A8"/>
    <w:rsid w:val="00D1100A"/>
    <w:rsid w:val="00D52620"/>
    <w:rsid w:val="00E81EAE"/>
    <w:rsid w:val="00ED1FD0"/>
    <w:rsid w:val="017028F2"/>
    <w:rsid w:val="06D67F03"/>
    <w:rsid w:val="075D6911"/>
    <w:rsid w:val="0A4105B3"/>
    <w:rsid w:val="0CFB767D"/>
    <w:rsid w:val="10074DCB"/>
    <w:rsid w:val="119D2562"/>
    <w:rsid w:val="14B10877"/>
    <w:rsid w:val="163D3355"/>
    <w:rsid w:val="1641462C"/>
    <w:rsid w:val="164350F0"/>
    <w:rsid w:val="16F87402"/>
    <w:rsid w:val="19ED2977"/>
    <w:rsid w:val="1B30163C"/>
    <w:rsid w:val="1D315989"/>
    <w:rsid w:val="1F122F4D"/>
    <w:rsid w:val="223548AA"/>
    <w:rsid w:val="28250D08"/>
    <w:rsid w:val="2A48510C"/>
    <w:rsid w:val="2A5430F1"/>
    <w:rsid w:val="2AB07DAD"/>
    <w:rsid w:val="2AD765D7"/>
    <w:rsid w:val="2C183D99"/>
    <w:rsid w:val="2DBA5D06"/>
    <w:rsid w:val="2EA3747A"/>
    <w:rsid w:val="2F6659F9"/>
    <w:rsid w:val="301845F2"/>
    <w:rsid w:val="31A60781"/>
    <w:rsid w:val="32635B02"/>
    <w:rsid w:val="32DF0741"/>
    <w:rsid w:val="33B81EFA"/>
    <w:rsid w:val="33B84238"/>
    <w:rsid w:val="36D425A0"/>
    <w:rsid w:val="38697FB2"/>
    <w:rsid w:val="38A626A1"/>
    <w:rsid w:val="3A297AC2"/>
    <w:rsid w:val="3A433D9A"/>
    <w:rsid w:val="3A9C252F"/>
    <w:rsid w:val="3BBF221B"/>
    <w:rsid w:val="3BCA66F8"/>
    <w:rsid w:val="3C1B78A3"/>
    <w:rsid w:val="3C6160D7"/>
    <w:rsid w:val="3FE260B6"/>
    <w:rsid w:val="3FEB20C4"/>
    <w:rsid w:val="410E1C92"/>
    <w:rsid w:val="4175032C"/>
    <w:rsid w:val="424050C0"/>
    <w:rsid w:val="431B5494"/>
    <w:rsid w:val="4B812FA5"/>
    <w:rsid w:val="4CC51E5C"/>
    <w:rsid w:val="4E39030C"/>
    <w:rsid w:val="516F6F15"/>
    <w:rsid w:val="547A5EE3"/>
    <w:rsid w:val="548B3F8F"/>
    <w:rsid w:val="56DB053C"/>
    <w:rsid w:val="570E772B"/>
    <w:rsid w:val="58C87188"/>
    <w:rsid w:val="58EC2DED"/>
    <w:rsid w:val="5B682E02"/>
    <w:rsid w:val="5BD03528"/>
    <w:rsid w:val="5C0C7A51"/>
    <w:rsid w:val="5D314E09"/>
    <w:rsid w:val="5F431A58"/>
    <w:rsid w:val="60A014CF"/>
    <w:rsid w:val="60F85612"/>
    <w:rsid w:val="63804370"/>
    <w:rsid w:val="6483745D"/>
    <w:rsid w:val="6CAC5E2F"/>
    <w:rsid w:val="6D38380C"/>
    <w:rsid w:val="6E73592E"/>
    <w:rsid w:val="72253F00"/>
    <w:rsid w:val="7377176F"/>
    <w:rsid w:val="767A766E"/>
    <w:rsid w:val="76C6091C"/>
    <w:rsid w:val="78BB59FE"/>
    <w:rsid w:val="7AD81139"/>
    <w:rsid w:val="7AE40A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686</Words>
  <Characters>3911</Characters>
  <Lines>32</Lines>
  <Paragraphs>9</Paragraphs>
  <TotalTime>7</TotalTime>
  <ScaleCrop>false</ScaleCrop>
  <LinksUpToDate>false</LinksUpToDate>
  <CharactersWithSpaces>4588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2020-12-09T16:28:00Z</dcterms:created>
  <dc:creator>Windows 用户</dc:creator>
  <cp:lastModifiedBy>434575419</cp:lastModifiedBy>
  <dcterms:modified xsi:type="dcterms:W3CDTF">2023-10-16T08:27:46Z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DEB4878290D34C959D5CC970B6BC4E6D</vt:lpwstr>
  </property>
</Properties>
</file>