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rPr>
          <w:rFonts w:hint="eastAsia" w:asciiTheme="majorEastAsia" w:hAnsiTheme="majorEastAsia" w:eastAsiaTheme="majorEastAsia" w:cstheme="majorEastAsia"/>
          <w:b/>
          <w:color w:val="333333"/>
          <w:kern w:val="0"/>
          <w:sz w:val="44"/>
          <w:szCs w:val="44"/>
          <w:lang w:eastAsia="zh-CN"/>
        </w:rPr>
      </w:pPr>
      <w:r>
        <w:rPr>
          <w:rFonts w:hint="eastAsia" w:asciiTheme="majorEastAsia" w:hAnsiTheme="majorEastAsia" w:eastAsiaTheme="majorEastAsia" w:cstheme="majorEastAsia"/>
          <w:b/>
          <w:color w:val="333333"/>
          <w:kern w:val="0"/>
          <w:sz w:val="44"/>
          <w:szCs w:val="44"/>
          <w:lang w:eastAsia="zh-CN"/>
        </w:rPr>
        <w:t>阿尔伯塔大学简介</w:t>
      </w:r>
    </w:p>
    <w:p>
      <w:pPr>
        <w:widowControl/>
        <w:shd w:val="clear" w:color="auto" w:fill="FFFFFF"/>
        <w:spacing w:line="360" w:lineRule="atLeast"/>
        <w:ind w:firstLine="420"/>
        <w:jc w:val="left"/>
        <w:rPr>
          <w:rFonts w:hint="eastAsia" w:ascii="仿宋_GB2312" w:hAnsi="Arial" w:eastAsia="仿宋_GB2312" w:cs="Arial"/>
          <w:b/>
          <w:color w:val="333333"/>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2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b/>
          <w:color w:val="333333"/>
          <w:kern w:val="0"/>
          <w:sz w:val="32"/>
          <w:szCs w:val="32"/>
        </w:rPr>
        <w:t>阿尔伯塔大学</w:t>
      </w:r>
      <w:r>
        <w:rPr>
          <w:rFonts w:hint="eastAsia" w:ascii="仿宋_GB2312" w:hAnsi="Arial" w:eastAsia="仿宋_GB2312" w:cs="Arial"/>
          <w:color w:val="333333"/>
          <w:kern w:val="0"/>
          <w:sz w:val="32"/>
          <w:szCs w:val="32"/>
        </w:rPr>
        <w:t>位于加拿大</w:t>
      </w:r>
      <w:r>
        <w:rPr>
          <w:sz w:val="32"/>
          <w:szCs w:val="32"/>
        </w:rPr>
        <w:fldChar w:fldCharType="begin"/>
      </w:r>
      <w:r>
        <w:rPr>
          <w:sz w:val="32"/>
          <w:szCs w:val="32"/>
        </w:rPr>
        <w:instrText xml:space="preserve"> HYPERLINK "http://baike.baidu.com/view/427263.htm" \t "_blank" </w:instrText>
      </w:r>
      <w:r>
        <w:rPr>
          <w:sz w:val="32"/>
          <w:szCs w:val="32"/>
        </w:rPr>
        <w:fldChar w:fldCharType="separate"/>
      </w:r>
      <w:r>
        <w:rPr>
          <w:rFonts w:hint="eastAsia" w:ascii="仿宋_GB2312" w:hAnsi="Arial" w:eastAsia="仿宋_GB2312" w:cs="Arial"/>
          <w:color w:val="333333"/>
          <w:kern w:val="0"/>
          <w:sz w:val="32"/>
          <w:szCs w:val="32"/>
        </w:rPr>
        <w:t>阿尔伯塔</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省会城市</w:t>
      </w:r>
      <w:r>
        <w:rPr>
          <w:sz w:val="32"/>
          <w:szCs w:val="32"/>
        </w:rPr>
        <w:fldChar w:fldCharType="begin"/>
      </w:r>
      <w:r>
        <w:rPr>
          <w:sz w:val="32"/>
          <w:szCs w:val="32"/>
        </w:rPr>
        <w:instrText xml:space="preserve"> HYPERLINK "http://baike.baidu.com/view/108781.htm" \t "_blank" </w:instrText>
      </w:r>
      <w:r>
        <w:rPr>
          <w:sz w:val="32"/>
          <w:szCs w:val="32"/>
        </w:rPr>
        <w:fldChar w:fldCharType="separate"/>
      </w:r>
      <w:r>
        <w:rPr>
          <w:rFonts w:hint="eastAsia" w:ascii="仿宋_GB2312" w:hAnsi="Arial" w:eastAsia="仿宋_GB2312" w:cs="Arial"/>
          <w:color w:val="333333"/>
          <w:kern w:val="0"/>
          <w:sz w:val="32"/>
          <w:szCs w:val="32"/>
        </w:rPr>
        <w:t>埃德蒙顿</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，成立于1908年。其多年来与</w:t>
      </w:r>
      <w:r>
        <w:rPr>
          <w:rFonts w:hint="eastAsia" w:ascii="仿宋_GB2312" w:hAnsi="Arial" w:eastAsia="仿宋_GB2312" w:cs="Arial"/>
          <w:color w:val="333333"/>
          <w:kern w:val="0"/>
          <w:sz w:val="32"/>
          <w:szCs w:val="32"/>
        </w:rPr>
        <w:fldChar w:fldCharType="begin"/>
      </w:r>
      <w:r>
        <w:rPr>
          <w:rFonts w:hint="eastAsia" w:ascii="仿宋_GB2312" w:hAnsi="Arial" w:eastAsia="仿宋_GB2312" w:cs="Arial"/>
          <w:color w:val="333333"/>
          <w:kern w:val="0"/>
          <w:sz w:val="32"/>
          <w:szCs w:val="32"/>
        </w:rPr>
        <w:instrText xml:space="preserve"> HYPERLINK "http://baike.baidu.com/view/30437.htm" \t "_blank" </w:instrText>
      </w:r>
      <w:r>
        <w:rPr>
          <w:rFonts w:hint="eastAsia" w:ascii="仿宋_GB2312" w:hAnsi="Arial" w:eastAsia="仿宋_GB2312" w:cs="Arial"/>
          <w:color w:val="333333"/>
          <w:kern w:val="0"/>
          <w:sz w:val="32"/>
          <w:szCs w:val="32"/>
        </w:rPr>
        <w:fldChar w:fldCharType="separate"/>
      </w:r>
      <w:r>
        <w:rPr>
          <w:rFonts w:hint="eastAsia" w:ascii="仿宋_GB2312" w:hAnsi="Arial" w:eastAsia="仿宋_GB2312" w:cs="Arial"/>
          <w:color w:val="333333"/>
          <w:kern w:val="0"/>
          <w:sz w:val="32"/>
          <w:szCs w:val="32"/>
        </w:rPr>
        <w:t>多伦多大学</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w:t>
      </w:r>
      <w:r>
        <w:rPr>
          <w:sz w:val="32"/>
          <w:szCs w:val="32"/>
        </w:rPr>
        <w:fldChar w:fldCharType="begin"/>
      </w:r>
      <w:r>
        <w:rPr>
          <w:sz w:val="32"/>
          <w:szCs w:val="32"/>
        </w:rPr>
        <w:instrText xml:space="preserve"> HYPERLINK "http://baike.baidu.com/view/83198.htm" \t "_blank" </w:instrText>
      </w:r>
      <w:r>
        <w:rPr>
          <w:sz w:val="32"/>
          <w:szCs w:val="32"/>
        </w:rPr>
        <w:fldChar w:fldCharType="separate"/>
      </w:r>
      <w:r>
        <w:rPr>
          <w:rFonts w:hint="eastAsia" w:ascii="仿宋_GB2312" w:hAnsi="Arial" w:eastAsia="仿宋_GB2312" w:cs="Arial"/>
          <w:color w:val="333333"/>
          <w:kern w:val="0"/>
          <w:sz w:val="32"/>
          <w:szCs w:val="32"/>
        </w:rPr>
        <w:t>麦吉尔大学</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w:t>
      </w:r>
      <w:r>
        <w:rPr>
          <w:sz w:val="32"/>
          <w:szCs w:val="32"/>
        </w:rPr>
        <w:fldChar w:fldCharType="begin"/>
      </w:r>
      <w:r>
        <w:rPr>
          <w:sz w:val="32"/>
          <w:szCs w:val="32"/>
        </w:rPr>
        <w:instrText xml:space="preserve"> HYPERLINK "http://baike.baidu.com/view/144693.htm" \t "_blank" </w:instrText>
      </w:r>
      <w:r>
        <w:rPr>
          <w:sz w:val="32"/>
          <w:szCs w:val="32"/>
        </w:rPr>
        <w:fldChar w:fldCharType="separate"/>
      </w:r>
      <w:r>
        <w:rPr>
          <w:rFonts w:hint="eastAsia" w:ascii="仿宋_GB2312" w:hAnsi="Arial" w:eastAsia="仿宋_GB2312" w:cs="Arial"/>
          <w:color w:val="333333"/>
          <w:kern w:val="0"/>
          <w:sz w:val="32"/>
          <w:szCs w:val="32"/>
        </w:rPr>
        <w:t>英属哥伦比亚大学</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一起稳居加拿大研究型大学前五，世界排名前百。阿尔伯塔大学是加拿大大学联盟的创始成员以及</w:t>
      </w:r>
      <w:r>
        <w:rPr>
          <w:sz w:val="32"/>
          <w:szCs w:val="32"/>
        </w:rPr>
        <w:fldChar w:fldCharType="begin"/>
      </w:r>
      <w:r>
        <w:rPr>
          <w:sz w:val="32"/>
          <w:szCs w:val="32"/>
        </w:rPr>
        <w:instrText xml:space="preserve"> HYPERLINK "http://baike.baidu.com/view/971255.htm" \t "_blank" </w:instrText>
      </w:r>
      <w:r>
        <w:rPr>
          <w:sz w:val="32"/>
          <w:szCs w:val="32"/>
        </w:rPr>
        <w:fldChar w:fldCharType="separate"/>
      </w:r>
      <w:r>
        <w:rPr>
          <w:rFonts w:hint="eastAsia" w:ascii="仿宋_GB2312" w:hAnsi="Arial" w:eastAsia="仿宋_GB2312" w:cs="Arial"/>
          <w:color w:val="333333"/>
          <w:kern w:val="0"/>
          <w:sz w:val="32"/>
          <w:szCs w:val="32"/>
        </w:rPr>
        <w:t>世界大学联盟</w:t>
      </w:r>
      <w:r>
        <w:rPr>
          <w:rFonts w:hint="eastAsia" w:ascii="仿宋_GB2312" w:hAnsi="Arial" w:eastAsia="仿宋_GB2312" w:cs="Arial"/>
          <w:color w:val="333333"/>
          <w:kern w:val="0"/>
          <w:sz w:val="32"/>
          <w:szCs w:val="32"/>
        </w:rPr>
        <w:fldChar w:fldCharType="end"/>
      </w:r>
      <w:r>
        <w:rPr>
          <w:rFonts w:hint="eastAsia" w:ascii="仿宋_GB2312" w:hAnsi="Arial" w:eastAsia="仿宋_GB2312" w:cs="Arial"/>
          <w:color w:val="333333"/>
          <w:kern w:val="0"/>
          <w:sz w:val="32"/>
          <w:szCs w:val="32"/>
        </w:rPr>
        <w:t>的成员。随着阿尔伯塔省经济的繁荣和教育投入的增加，校方的目标是在2020年成为跻身全世界最好的20所公立大学。</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2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阿尔伯塔大学是全加拿大五所最大的以科研为主的综合性大学之一，其科研水平居加拿大大学队伍的前列。参加全加14个优秀科研网的仅有3所大学，阿尔伯塔大学便跻身其列（其他两所是多伦多大学和麦吉尔大学）。在全国大学中，阿尔伯塔大学占皇家学会会员人数以及申请美国技术专利和技术转让总数均居第五位，其科研收入与所得资助总额居全国第五。</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阿尔伯塔大学校园内的各种设施十分完备先进。主校园占地89公顷，还有5，000公顷校外科研用地，广阔的校区容纳了400个科研实验室，包括全加最有实力的激光实验室、最居前沿的扫描电子显微镜实验室，两套NMR设施和一些农业科研站点。大学图书馆是加拿大第二大科研图书馆，人均图书拥有量居全加第一。同时，其Timms艺术中心拥有国内最新最好的戏剧教学设施，体育娱乐中心兼有室外与室内的多种娱乐设施。阿尔伯塔大学的体育也比较出名，尤其以排球队和冰球队较为优秀，经常可以拿到国家级的奖项。</w:t>
      </w:r>
      <w:r>
        <w:rPr>
          <w:rFonts w:hint="eastAsia" w:ascii="仿宋_GB2312" w:hAnsi="Arial" w:eastAsia="仿宋_GB2312" w:cs="Arial"/>
          <w:color w:val="3366CC"/>
          <w:kern w:val="0"/>
          <w:sz w:val="32"/>
          <w:szCs w:val="32"/>
          <w:vertAlign w:val="superscript"/>
        </w:rPr>
        <w:t>[3]</w:t>
      </w:r>
      <w:bookmarkStart w:id="0" w:name="ref_[3]_144683"/>
      <w:r>
        <w:rPr>
          <w:rFonts w:hint="eastAsia" w:ascii="仿宋_GB2312" w:hAnsi="Arial" w:eastAsia="仿宋_GB2312" w:cs="Arial"/>
          <w:color w:val="136EC2"/>
          <w:kern w:val="0"/>
          <w:sz w:val="32"/>
          <w:szCs w:val="32"/>
        </w:rPr>
        <w:t> </w:t>
      </w:r>
      <w:bookmarkEnd w:id="0"/>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在各校区共设有8个各具特色的学生宿舍，为4,000多名学生提供住宿。学生公寓分为四个区域：Lister Center，Hub，International House，St.Jean。法语区专用宿舍St.Jean并不在校区内，而通过校车接送。Hub与商场相连，是方便、舒适的生活场所。</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另外，学校设有80多个学生服务项目，包括保健、学术研究、个人财务资助和就业协助等。课外活动方面，阿尔伯塔大学有450多个学生俱乐部和协会，21支不同专业的体育运动队，及500多项校园内的健身娱乐活动。</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Arial" w:eastAsia="仿宋_GB2312" w:cs="Arial"/>
          <w:b/>
          <w:color w:val="333333"/>
          <w:kern w:val="0"/>
          <w:sz w:val="32"/>
          <w:szCs w:val="32"/>
        </w:rPr>
      </w:pPr>
      <w:r>
        <w:rPr>
          <w:rFonts w:hint="eastAsia" w:ascii="仿宋_GB2312" w:hAnsi="Arial" w:eastAsia="仿宋_GB2312" w:cs="Arial"/>
          <w:b/>
          <w:color w:val="333333"/>
          <w:kern w:val="0"/>
          <w:sz w:val="32"/>
          <w:szCs w:val="32"/>
        </w:rPr>
        <w:t>体育及康乐学院</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Arial" w:eastAsia="仿宋_GB2312" w:cs="Arial"/>
          <w:color w:val="333333"/>
          <w:kern w:val="0"/>
          <w:sz w:val="32"/>
          <w:szCs w:val="32"/>
        </w:rPr>
      </w:pPr>
      <w:r>
        <w:rPr>
          <w:rFonts w:hint="eastAsia" w:ascii="仿宋_GB2312" w:hAnsi="Arial" w:eastAsia="仿宋_GB2312" w:cs="Arial"/>
          <w:color w:val="333333"/>
          <w:kern w:val="0"/>
          <w:sz w:val="32"/>
          <w:szCs w:val="32"/>
        </w:rPr>
        <w:t>阿尔伯塔大学的体育及康乐学院设有体育教育、运动学、运动科学、休闲及其他相关专业，是体育教育领域的佼佼者。</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950 名学生参与5 个本科项目</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150名学生参与6个研究生项目</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两年学历教育实现100%就业率</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专业的实习课程提供就业机会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本科研究机会</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每年26000名学生参与休闲服务</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firstLineChars="15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南校区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 xml:space="preserve">  </w:t>
      </w: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2001田径世锦赛举办地</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 xml:space="preserve">  </w:t>
      </w:r>
      <w:r>
        <w:rPr>
          <w:rFonts w:hint="eastAsia" w:ascii="宋体" w:hAnsi="宋体" w:eastAsia="宋体" w:cs="宋体"/>
          <w:color w:val="333333"/>
          <w:kern w:val="0"/>
          <w:sz w:val="32"/>
          <w:szCs w:val="32"/>
        </w:rPr>
        <w:t>•</w:t>
      </w:r>
      <w:r>
        <w:rPr>
          <w:rFonts w:hint="eastAsia" w:ascii="仿宋_GB2312" w:hAnsi="Vladimir Script" w:eastAsia="仿宋_GB2312" w:cs="Arial"/>
          <w:color w:val="333333"/>
          <w:kern w:val="0"/>
          <w:sz w:val="32"/>
          <w:szCs w:val="32"/>
        </w:rPr>
        <w:t>加拿大冰壶国家训练中心，奥运冠军诞生地</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北校区</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 xml:space="preserve">  •2014年开设一流的体育活动中心</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480"/>
        <w:jc w:val="left"/>
        <w:textAlignment w:val="auto"/>
        <w:outlineLvl w:val="9"/>
        <w:rPr>
          <w:rFonts w:ascii="仿宋_GB2312" w:hAnsi="Vladimir Script" w:eastAsia="仿宋_GB2312" w:cs="Arial"/>
          <w:color w:val="333333"/>
          <w:kern w:val="0"/>
          <w:sz w:val="32"/>
          <w:szCs w:val="32"/>
        </w:rPr>
      </w:pPr>
      <w:r>
        <w:rPr>
          <w:rFonts w:hint="eastAsia" w:ascii="仿宋_GB2312" w:hAnsi="Vladimir Script" w:eastAsia="仿宋_GB2312" w:cs="Arial"/>
          <w:color w:val="333333"/>
          <w:kern w:val="0"/>
          <w:sz w:val="32"/>
          <w:szCs w:val="32"/>
        </w:rPr>
        <w:t xml:space="preserve">  •2014年改造的实验室及教学区</w:t>
      </w:r>
    </w:p>
    <w:p>
      <w:pPr>
        <w:rPr>
          <w:sz w:val="28"/>
          <w:szCs w:val="28"/>
        </w:rPr>
      </w:pPr>
      <w:r>
        <w:rPr>
          <w:sz w:val="28"/>
          <w:szCs w:val="28"/>
        </w:rPr>
        <w:br w:type="page"/>
      </w:r>
    </w:p>
    <w:p>
      <w:pPr>
        <w:spacing w:line="360" w:lineRule="auto"/>
        <w:jc w:val="center"/>
        <w:rPr>
          <w:rFonts w:hint="eastAsia" w:asciiTheme="majorEastAsia" w:hAnsiTheme="majorEastAsia" w:eastAsiaTheme="majorEastAsia" w:cstheme="majorEastAsia"/>
          <w:b/>
          <w:bCs/>
          <w:sz w:val="44"/>
          <w:szCs w:val="40"/>
          <w:lang w:eastAsia="zh-CN"/>
        </w:rPr>
      </w:pPr>
      <w:r>
        <w:rPr>
          <w:rFonts w:hint="eastAsia" w:asciiTheme="majorEastAsia" w:hAnsiTheme="majorEastAsia" w:eastAsiaTheme="majorEastAsia" w:cstheme="majorEastAsia"/>
          <w:b/>
          <w:bCs/>
          <w:sz w:val="44"/>
          <w:szCs w:val="40"/>
          <w:lang w:eastAsia="zh-CN"/>
        </w:rPr>
        <w:t>课程信息</w:t>
      </w:r>
    </w:p>
    <w:p>
      <w:pPr>
        <w:spacing w:line="240" w:lineRule="exact"/>
        <w:rPr>
          <w:rFonts w:ascii="Times New Roman" w:hAnsi="Times New Roman" w:eastAsia="仿宋_GB2312" w:cs="Times New Roman"/>
          <w:sz w:val="32"/>
          <w:szCs w:val="28"/>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1）100级课程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100 生活，休闲，和睦幸福**</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122 娱乐与休闲中的领导力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130 社区娱乐和休闲中的协作技能和流程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104 休闲体育社会影响概况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105 体育管理及休闲娱乐管理概况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HE ED 110 人体健康与康乐概况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100 人体解剖学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101 生理学概况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103 综合人类生理学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109 统计测量与评估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101 体育活动原理与概念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110 水上运动基本介绍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111 篮球基本介绍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112 曲棍球基本介绍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113 橄榄球基本介绍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114 冰球基本介绍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117 英式橄榄球基本介绍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118 足球基本介绍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131 羽毛球基本介绍？？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133 壁球基本介绍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135 网球基本介绍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137 排球基本介绍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145 高尔夫基本介绍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154 摔跤基本介绍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156 瑜伽基本介绍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160 体操基本介绍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173 田径基本介绍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174 田径基本介绍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182 室内攀岩基本介绍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183 冰壶基本介绍</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184 加拿大山地露营技巧简介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197在体育活动中的话题选择-等级1</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DAC 155 社交舞</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DAC 160 爵士舞</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DAC 197 跳舞中的话题选择</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2）200级课程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210 娱乐与休闲学术研究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223 休闲与人类行为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225 休闲项目策划</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232 娱乐体育与旅游市场营销</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263 旅游学原理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204 加拿大休闲体育与健康史</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207 针对残疾人和多样群体的适应性体育及休闲体育课程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200 运动生理学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203 技能习得与运用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205 户外环境教育概论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206 生物力学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207 生理运动及精神性运动发展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209 运动学研究方法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240 运动损伤处理概论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245 训练专业概论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246 教学实践I</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293 儿童体育活动概论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294 体育活动理论方法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200 舞蹈的社会影响力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HE ED 220 健康健身生物学概论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HE ED 221 人口健康</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200舞蹈的社会影响力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3)300档课程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304 加拿大运动与休闲：社会学视角</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323 加拿大原住民及运动实践：加拿大视角</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335 休闲，体育及体育活动的志愿者管理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350 先进休闲体育组织案例分析</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351 运动与休闲的文化研究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352 休闲设施：规划与管理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370 针对残疾人适应性体育活动和康复治疗的评估及服务提供项目</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371青少年运动评估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320 游戏的结构和策略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325 青少年游戏研究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HE ED  321 健康促进学的心理学影响力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 xml:space="preserve">HE ED </w:t>
      </w:r>
      <w:r>
        <w:rPr>
          <w:rFonts w:ascii="Times New Roman" w:hAnsi="Times New Roman" w:eastAsia="仿宋_GB2312" w:cs="Times New Roman"/>
          <w:sz w:val="28"/>
          <w:szCs w:val="24"/>
        </w:rPr>
        <w:tab/>
      </w:r>
      <w:r>
        <w:rPr>
          <w:rFonts w:ascii="Times New Roman" w:hAnsi="Times New Roman" w:eastAsia="仿宋_GB2312" w:cs="Times New Roman"/>
          <w:sz w:val="28"/>
          <w:szCs w:val="24"/>
        </w:rPr>
        <w:t>320 健康促进学的社会影响力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302 人类运动控制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303 体育运动心理学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306 人体运动的定量生物力学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311 体质健康评估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334 体育运动，营养及能量平衡</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335 高等训练方法论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338 少儿体育运动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346 训练教学实习II</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372 针对残疾人的适应性体育课程的神经科学认知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385 体育运动与老年人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391 运动人体科学基础概论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310  水上运动训练法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311  篮球训练法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313  橄榄球训练法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314  冰球训练法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318  足球训练法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320  游戏的结构和策略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325  青少年游戏研究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331  羽毛球训练法？？？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333  墙网球训练法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335  网球训练法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337  排球训练法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345  高尔夫训练法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354  摔跤训练法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355  瑜伽理论与实践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356  减压瑜伽</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360  体操训练法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365  青少儿体操研究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370  田径训练法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383  冰壶训练法</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397 体育活动专题- 第二阶段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340 现代舞蹈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345 现代舞技巧</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350 国际民间舞蹈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4)400档课程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400 休闲哲学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441 实习研讨班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449 职业实习</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452 园林规划、管理和维修</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463 旅游业发展问题</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473 治疗性娱乐原则与过程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RLS 497 娱乐与休闲选定话题</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404 风景与记忆：自然、园林与旅游的历史</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411 曲棍球商业</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420 玩乐：休闲、体育与体育锻炼的基础</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421 如何当好领导者</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450 过程管理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495 高级研究经验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PERLS 497 体育教育、娱乐与休闲研究选定话题</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401 体育与体育运动中的道德</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403 心理学技能在体育与体育运动中的运用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410 以系统神经科学方法研究人类运动行为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413 心肺练习生理学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440 高级体育损伤管理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KIN 444 运动与体格检查中的沟通技巧与策略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490 运用抗阻训练</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PAC 491 运用耐力训练</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431 儿童舞蹈研究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446 现代舞编曲</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Times New Roman" w:hAnsi="Times New Roman" w:eastAsia="仿宋_GB2312" w:cs="Times New Roman"/>
          <w:sz w:val="28"/>
          <w:szCs w:val="24"/>
        </w:rPr>
      </w:pPr>
      <w:r>
        <w:rPr>
          <w:rFonts w:ascii="Times New Roman" w:hAnsi="Times New Roman" w:eastAsia="仿宋_GB2312" w:cs="Times New Roman"/>
          <w:sz w:val="28"/>
          <w:szCs w:val="24"/>
        </w:rPr>
        <w:t>DANCE 497 舞蹈选定话题</w:t>
      </w:r>
    </w:p>
    <w:p>
      <w:pPr>
        <w:spacing w:line="240" w:lineRule="exact"/>
        <w:rPr>
          <w:rFonts w:ascii="Times New Roman" w:hAnsi="Times New Roman" w:eastAsia="仿宋_GB2312" w:cs="Times New Roman"/>
          <w:sz w:val="24"/>
        </w:rPr>
      </w:pPr>
    </w:p>
    <w:p>
      <w:pPr>
        <w:spacing w:line="360" w:lineRule="auto"/>
        <w:ind w:firstLine="480"/>
      </w:pPr>
    </w:p>
    <w:p>
      <w:pPr>
        <w:jc w:val="both"/>
        <w:rPr>
          <w:rFonts w:hint="eastAsia" w:ascii="仿宋" w:hAnsi="仿宋" w:eastAsia="仿宋" w:cs="仿宋"/>
          <w:sz w:val="28"/>
          <w:szCs w:val="28"/>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Vladimir Script">
    <w:panose1 w:val="03050402040407070305"/>
    <w:charset w:val="00"/>
    <w:family w:val="script"/>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5887"/>
    <w:rsid w:val="00010494"/>
    <w:rsid w:val="00063E52"/>
    <w:rsid w:val="00074087"/>
    <w:rsid w:val="00090ADB"/>
    <w:rsid w:val="000A229D"/>
    <w:rsid w:val="000D2196"/>
    <w:rsid w:val="000E33D7"/>
    <w:rsid w:val="00133ED1"/>
    <w:rsid w:val="00195942"/>
    <w:rsid w:val="0019799E"/>
    <w:rsid w:val="001A0C36"/>
    <w:rsid w:val="001A515A"/>
    <w:rsid w:val="001D71B5"/>
    <w:rsid w:val="001F1379"/>
    <w:rsid w:val="001F1707"/>
    <w:rsid w:val="002118BB"/>
    <w:rsid w:val="00245887"/>
    <w:rsid w:val="00275372"/>
    <w:rsid w:val="002A4C27"/>
    <w:rsid w:val="002E014B"/>
    <w:rsid w:val="002F477B"/>
    <w:rsid w:val="003020D4"/>
    <w:rsid w:val="00312B32"/>
    <w:rsid w:val="0031738E"/>
    <w:rsid w:val="00326BE6"/>
    <w:rsid w:val="003428AE"/>
    <w:rsid w:val="00396C3B"/>
    <w:rsid w:val="003C3F2C"/>
    <w:rsid w:val="00475246"/>
    <w:rsid w:val="004F0EA1"/>
    <w:rsid w:val="004F177A"/>
    <w:rsid w:val="004F2CA6"/>
    <w:rsid w:val="00502439"/>
    <w:rsid w:val="00517E91"/>
    <w:rsid w:val="00566546"/>
    <w:rsid w:val="00574AFE"/>
    <w:rsid w:val="005B3040"/>
    <w:rsid w:val="005C7074"/>
    <w:rsid w:val="005E72BA"/>
    <w:rsid w:val="006219E4"/>
    <w:rsid w:val="0063158B"/>
    <w:rsid w:val="006B5433"/>
    <w:rsid w:val="006E266C"/>
    <w:rsid w:val="006F0E1F"/>
    <w:rsid w:val="00736EFC"/>
    <w:rsid w:val="007821F7"/>
    <w:rsid w:val="00790719"/>
    <w:rsid w:val="00794ED4"/>
    <w:rsid w:val="007B7250"/>
    <w:rsid w:val="007C6DBE"/>
    <w:rsid w:val="00832BDC"/>
    <w:rsid w:val="00862D87"/>
    <w:rsid w:val="00862E8F"/>
    <w:rsid w:val="008744AF"/>
    <w:rsid w:val="00877892"/>
    <w:rsid w:val="00882414"/>
    <w:rsid w:val="008D0A1D"/>
    <w:rsid w:val="008E4489"/>
    <w:rsid w:val="008F10C2"/>
    <w:rsid w:val="0091481B"/>
    <w:rsid w:val="00932EEA"/>
    <w:rsid w:val="00933C9F"/>
    <w:rsid w:val="00940E77"/>
    <w:rsid w:val="009C1CF4"/>
    <w:rsid w:val="009E3785"/>
    <w:rsid w:val="009F698F"/>
    <w:rsid w:val="00A1734C"/>
    <w:rsid w:val="00A46E74"/>
    <w:rsid w:val="00A64BA1"/>
    <w:rsid w:val="00A70654"/>
    <w:rsid w:val="00AE6791"/>
    <w:rsid w:val="00AF6B8F"/>
    <w:rsid w:val="00B63456"/>
    <w:rsid w:val="00BA1BC4"/>
    <w:rsid w:val="00BC1767"/>
    <w:rsid w:val="00BC4E04"/>
    <w:rsid w:val="00BE6D1E"/>
    <w:rsid w:val="00BF6B39"/>
    <w:rsid w:val="00C24565"/>
    <w:rsid w:val="00C5739D"/>
    <w:rsid w:val="00C63B76"/>
    <w:rsid w:val="00C914CB"/>
    <w:rsid w:val="00C933C8"/>
    <w:rsid w:val="00CA79D1"/>
    <w:rsid w:val="00CC0139"/>
    <w:rsid w:val="00CD2D89"/>
    <w:rsid w:val="00CF109B"/>
    <w:rsid w:val="00CF173B"/>
    <w:rsid w:val="00CF3FEA"/>
    <w:rsid w:val="00D153C1"/>
    <w:rsid w:val="00D40301"/>
    <w:rsid w:val="00D744D9"/>
    <w:rsid w:val="00D74524"/>
    <w:rsid w:val="00D821B3"/>
    <w:rsid w:val="00D84581"/>
    <w:rsid w:val="00DA79C0"/>
    <w:rsid w:val="00DC119E"/>
    <w:rsid w:val="00E2240B"/>
    <w:rsid w:val="00E35577"/>
    <w:rsid w:val="00E5014F"/>
    <w:rsid w:val="00E66F8E"/>
    <w:rsid w:val="00E77B51"/>
    <w:rsid w:val="00EC03E2"/>
    <w:rsid w:val="00EC7B3C"/>
    <w:rsid w:val="00F33D8D"/>
    <w:rsid w:val="00F33EE1"/>
    <w:rsid w:val="00F44A9D"/>
    <w:rsid w:val="00F51587"/>
    <w:rsid w:val="00F61A4B"/>
    <w:rsid w:val="00F67031"/>
    <w:rsid w:val="00F9168E"/>
    <w:rsid w:val="00F91A52"/>
    <w:rsid w:val="00FA1B3A"/>
    <w:rsid w:val="00FA2AF8"/>
    <w:rsid w:val="00FF3D89"/>
    <w:rsid w:val="00FF3F4B"/>
    <w:rsid w:val="00FF6ED5"/>
    <w:rsid w:val="00FF790B"/>
    <w:rsid w:val="14F510C8"/>
    <w:rsid w:val="343C185F"/>
    <w:rsid w:val="4E9F0A2F"/>
    <w:rsid w:val="5897158A"/>
    <w:rsid w:val="5AB66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single"/>
    </w:rPr>
  </w:style>
  <w:style w:type="character" w:customStyle="1" w:styleId="5">
    <w:name w:val="apple-converted-space"/>
    <w:basedOn w:val="2"/>
    <w:qFormat/>
    <w:uiPriority w:val="0"/>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C6140-7DA9-4D4E-A691-4B7CFF7311D3}">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216</Words>
  <Characters>1232</Characters>
  <Lines>10</Lines>
  <Paragraphs>2</Paragraphs>
  <ScaleCrop>false</ScaleCrop>
  <LinksUpToDate>false</LinksUpToDate>
  <CharactersWithSpaces>1446</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2017-03-01T06:26:00Z</dcterms:created>
  <dc:creator>王俊之</dc:creator>
  <cp:lastModifiedBy>古木夕阳</cp:lastModifiedBy>
  <cp:lastPrinted>2017-04-10T00:29:00Z</cp:lastPrinted>
  <dcterms:modified xsi:type="dcterms:W3CDTF">2018-04-02T02:30:22Z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